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1"/>
        <w:pBdr/>
        <w:spacing w:after="312" w:line="560" w:lineRule="exact"/>
        <w:ind/>
        <w:jc w:val="center"/>
        <w:rPr>
          <w:rFonts w:ascii="方正小标宋简体" w:hAnsi="仿宋" w:eastAsia="方正小标宋简体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b/>
          <w:bCs/>
          <w:sz w:val="32"/>
          <w:szCs w:val="32"/>
        </w:rPr>
        <w:t xml:space="preserve">广东财经大学</w:t>
      </w:r>
      <w:r>
        <w:rPr>
          <w:rFonts w:hint="eastAsia" w:ascii="方正小标宋简体" w:hAnsi="仿宋" w:eastAsia="方正小标宋简体" w:cs="方正小标宋简体"/>
          <w:b/>
          <w:bCs/>
          <w:sz w:val="32"/>
          <w:szCs w:val="32"/>
        </w:rPr>
        <w:t xml:space="preserve">普教本科生</w:t>
      </w:r>
      <w:r>
        <w:rPr>
          <w:rFonts w:hint="eastAsia" w:ascii="方正小标宋简体" w:hAnsi="仿宋" w:eastAsia="方正小标宋简体" w:cs="方正小标宋简体"/>
          <w:b/>
          <w:bCs/>
          <w:sz w:val="32"/>
          <w:szCs w:val="32"/>
        </w:rPr>
        <w:t xml:space="preserve">休学申请审批表</w:t>
      </w:r>
      <w:r>
        <w:rPr>
          <w:rFonts w:ascii="方正小标宋简体" w:hAnsi="仿宋" w:eastAsia="方正小标宋简体"/>
          <w:b/>
          <w:bCs/>
          <w:sz w:val="32"/>
          <w:szCs w:val="32"/>
        </w:rPr>
      </w:r>
      <w:r>
        <w:rPr>
          <w:rFonts w:ascii="方正小标宋简体" w:hAnsi="仿宋" w:eastAsia="方正小标宋简体"/>
          <w:b/>
          <w:bCs/>
          <w:sz w:val="32"/>
          <w:szCs w:val="32"/>
        </w:rPr>
      </w:r>
    </w:p>
    <w:tbl>
      <w:tblPr>
        <w:tblW w:w="0" w:type="auto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431"/>
        <w:gridCol w:w="1755"/>
        <w:gridCol w:w="1080"/>
        <w:gridCol w:w="362"/>
        <w:gridCol w:w="1798"/>
        <w:gridCol w:w="1335"/>
        <w:gridCol w:w="1730"/>
      </w:tblGrid>
      <w:tr>
        <w:trPr>
          <w:trHeight w:val="818"/>
        </w:trPr>
        <w:tc>
          <w:tcPr>
            <w:tcBorders>
              <w:top w:val="single" w:color="000000" w:sz="8" w:space="0"/>
            </w:tcBorders>
            <w:tcW w:w="1431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姓名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755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学号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性别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73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766"/>
        </w:trPr>
        <w:tc>
          <w:tcPr>
            <w:tcBorders/>
            <w:tcW w:w="1431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学院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755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专业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216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 w:left="1455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335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班级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73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cantSplit/>
          <w:trHeight w:val="774"/>
        </w:trPr>
        <w:tc>
          <w:tcPr>
            <w:tcBorders/>
            <w:tcW w:w="1431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 w:firstLine="14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休学时间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6"/>
            <w:tcBorders/>
            <w:tcW w:w="806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300" w:lineRule="exact"/>
              <w:ind w:left="14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月至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月（共计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学期）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cantSplit/>
          <w:trHeight w:val="2258"/>
        </w:trPr>
        <w:tc>
          <w:tcPr>
            <w:gridSpan w:val="7"/>
            <w:tcBorders/>
            <w:tcW w:w="9491" w:type="dxa"/>
            <w:vAlign w:val="top"/>
            <w:textDirection w:val="lrTb"/>
            <w:noWrap w:val="false"/>
          </w:tcPr>
          <w:p>
            <w:pPr>
              <w:pStyle w:val="622"/>
              <w:pBdr/>
              <w:spacing w:after="0" w:afterAutospacing="0" w:before="156" w:beforeAutospacing="0" w:line="30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申请理由（附有关证明材料）：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line="30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line="30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学生签名：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line="28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cantSplit/>
          <w:trHeight w:val="2635"/>
        </w:trPr>
        <w:tc>
          <w:tcPr>
            <w:gridSpan w:val="4"/>
            <w:tcBorders/>
            <w:tcW w:w="4628" w:type="dxa"/>
            <w:vAlign w:val="top"/>
            <w:textDirection w:val="lrTb"/>
            <w:noWrap w:val="false"/>
          </w:tcPr>
          <w:p>
            <w:pPr>
              <w:pStyle w:val="622"/>
              <w:pBdr/>
              <w:spacing w:after="0" w:afterAutospacing="0" w:before="156" w:beforeAutospacing="0" w:line="28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校门诊部意见（因病）：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afterAutospacing="0" w:line="280" w:lineRule="exact"/>
              <w:ind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afterAutospacing="0" w:line="280" w:lineRule="exact"/>
              <w:ind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afterAutospacing="0" w:line="28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afterAutospacing="0" w:line="28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4863" w:type="dxa"/>
            <w:vAlign w:val="top"/>
            <w:textDirection w:val="lrTb"/>
            <w:noWrap w:val="false"/>
          </w:tcPr>
          <w:p>
            <w:pPr>
              <w:pStyle w:val="622"/>
              <w:pBdr/>
              <w:spacing w:before="156" w:beforeAutospacing="0" w:line="28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学院意见：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afterAutospacing="0" w:line="280" w:lineRule="exact"/>
              <w:ind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afterAutospacing="0" w:line="280" w:lineRule="exact"/>
              <w:ind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afterAutospacing="0" w:line="28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afterAutospacing="0" w:line="28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cantSplit/>
          <w:trHeight w:val="2089"/>
        </w:trPr>
        <w:tc>
          <w:tcPr>
            <w:gridSpan w:val="7"/>
            <w:tcBorders/>
            <w:tcW w:w="9491" w:type="dxa"/>
            <w:vAlign w:val="top"/>
            <w:textDirection w:val="lrTb"/>
            <w:noWrap w:val="false"/>
          </w:tcPr>
          <w:p>
            <w:pPr>
              <w:pStyle w:val="622"/>
              <w:pBdr/>
              <w:spacing w:after="0" w:afterAutospacing="0" w:before="156" w:beforeAutospacing="0" w:line="280" w:lineRule="exact"/>
              <w:ind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教务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部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2"/>
              <w:pBdr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</w:tbl>
    <w:p>
      <w:pPr>
        <w:pStyle w:val="616"/>
        <w:pBdr/>
        <w:spacing w:line="560" w:lineRule="exact"/>
        <w:ind w:hanging="2100" w:left="21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备注：</w:t>
      </w:r>
      <w:r>
        <w:rPr>
          <w:rFonts w:ascii="仿宋_GB2312" w:hAnsi="仿宋" w:eastAsia="仿宋_GB2312" w:cs="仿宋_GB2312"/>
          <w:sz w:val="28"/>
          <w:szCs w:val="28"/>
        </w:rPr>
        <w:t xml:space="preserve"> 1.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休学时间以学期为单位。累计不超过三学年。</w:t>
      </w:r>
      <w:r>
        <w:rPr>
          <w:rFonts w:ascii="仿宋_GB2312" w:hAnsi="仿宋" w:eastAsia="仿宋_GB2312"/>
          <w:sz w:val="28"/>
          <w:szCs w:val="28"/>
        </w:rPr>
      </w:r>
      <w:r>
        <w:rPr>
          <w:rFonts w:ascii="仿宋_GB2312" w:hAnsi="仿宋" w:eastAsia="仿宋_GB2312"/>
          <w:sz w:val="28"/>
          <w:szCs w:val="28"/>
        </w:rPr>
      </w:r>
    </w:p>
    <w:p>
      <w:pPr>
        <w:pStyle w:val="616"/>
        <w:pBdr/>
        <w:spacing w:line="560" w:lineRule="exact"/>
        <w:ind w:hanging="1400" w:left="14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       2.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本审批表由教务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部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留存。</w:t>
      </w:r>
      <w:r>
        <w:rPr>
          <w:rFonts w:ascii="仿宋_GB2312" w:hAnsi="仿宋" w:eastAsia="仿宋_GB2312"/>
          <w:sz w:val="28"/>
          <w:szCs w:val="28"/>
        </w:rPr>
      </w:r>
      <w:r>
        <w:rPr>
          <w:rFonts w:ascii="仿宋_GB2312" w:hAnsi="仿宋" w:eastAsia="仿宋_GB2312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仿宋_GB2312">
    <w:panose1 w:val="02010609060101010101"/>
  </w:font>
  <w:font w:name="方正小标宋简体">
    <w:panose1 w:val="020B0604020202020204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1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>
    <w:name w:val="无列表"/>
    <w:next w:val="619"/>
    <w:link w:val="616"/>
    <w:semiHidden/>
    <w:pPr>
      <w:pBdr/>
      <w:spacing/>
      <w:ind/>
    </w:pPr>
  </w:style>
  <w:style w:type="character" w:styleId="620">
    <w:name w:val=" Char Char"/>
    <w:basedOn w:val="617"/>
    <w:next w:val="620"/>
    <w:link w:val="621"/>
    <w:pPr>
      <w:pBdr/>
      <w:spacing/>
      <w:ind/>
    </w:pPr>
    <w:rPr>
      <w:rFonts w:ascii="宋体" w:hAnsi="Courier New"/>
      <w:lang w:bidi="ar-SA"/>
    </w:rPr>
  </w:style>
  <w:style w:type="paragraph" w:styleId="621">
    <w:name w:val="纯文本"/>
    <w:basedOn w:val="616"/>
    <w:next w:val="621"/>
    <w:link w:val="620"/>
    <w:pPr>
      <w:pBdr/>
      <w:spacing/>
      <w:ind/>
    </w:pPr>
    <w:rPr>
      <w:rFonts w:ascii="宋体" w:hAnsi="Courier New" w:eastAsia="Times New Roman"/>
      <w:sz w:val="20"/>
      <w:szCs w:val="20"/>
    </w:rPr>
  </w:style>
  <w:style w:type="paragraph" w:styleId="622">
    <w:name w:val="普通(网站)"/>
    <w:basedOn w:val="616"/>
    <w:next w:val="622"/>
    <w:link w:val="616"/>
    <w:pPr>
      <w:widowControl w:val="true"/>
      <w:pBdr/>
      <w:spacing w:after="100" w:afterAutospacing="1" w:before="100" w:beforeAutospacing="1"/>
      <w:ind/>
      <w:jc w:val="left"/>
    </w:pPr>
    <w:rPr>
      <w:rFonts w:ascii="宋体" w:hAnsi="宋体"/>
      <w:sz w:val="24"/>
      <w:szCs w:val="24"/>
    </w:r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  <w:style w:type="numbering" w:styleId="940" w:default="1">
    <w:name w:val="No List"/>
    <w:uiPriority w:val="99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广东财经大学普教本科生休学申请审批表</dc:title>
  <dc:creator>林国献</dc:creator>
  <cp:lastModifiedBy>匿名</cp:lastModifiedBy>
  <cp:revision>2</cp:revision>
  <dcterms:created xsi:type="dcterms:W3CDTF">2017-10-11T06:46:00Z</dcterms:created>
  <dcterms:modified xsi:type="dcterms:W3CDTF">2025-09-18T02:21:01Z</dcterms:modified>
  <cp:version>726502</cp:version>
</cp:coreProperties>
</file>