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0"/>
          <w:szCs w:val="30"/>
        </w:rPr>
      </w:pPr>
      <w:bookmarkStart w:id="0" w:name="_GoBack"/>
      <w:bookmarkEnd w:id="0"/>
      <w:r>
        <w:rPr>
          <w:rFonts w:hint="eastAsia" w:ascii="仿宋_GB2312" w:eastAsia="仿宋_GB2312"/>
          <w:b/>
          <w:sz w:val="30"/>
          <w:szCs w:val="30"/>
        </w:rPr>
        <w:t>广东省专业综合改革试点项目验收指标（试行）</w:t>
      </w:r>
    </w:p>
    <w:p>
      <w:pPr>
        <w:jc w:val="center"/>
        <w:rPr>
          <w:rFonts w:ascii="仿宋_GB2312" w:eastAsia="仿宋_GB2312"/>
          <w:b/>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LINK Excel.Sheet.8 "C:\\Users\\user\\Desktop\\20160114质量工程项目验收文件汇总\\项目验收指标体系汇总\\专业综合改革项目指标导入模板.xls" "Sheet1!R2C1:R16C7" \a \f 4 \h  \* MERGEFORMAT </w:instrText>
      </w:r>
      <w:r>
        <w:rPr>
          <w:rFonts w:hint="eastAsia" w:ascii="仿宋_GB2312" w:eastAsia="仿宋_GB2312"/>
          <w:sz w:val="24"/>
          <w:szCs w:val="24"/>
        </w:rPr>
        <w:fldChar w:fldCharType="separate"/>
      </w:r>
    </w:p>
    <w:tbl>
      <w:tblPr>
        <w:tblStyle w:val="6"/>
        <w:tblW w:w="14939" w:type="dxa"/>
        <w:jc w:val="center"/>
        <w:tblInd w:w="155" w:type="dxa"/>
        <w:tblLayout w:type="fixed"/>
        <w:tblCellMar>
          <w:top w:w="0" w:type="dxa"/>
          <w:left w:w="108" w:type="dxa"/>
          <w:bottom w:w="0" w:type="dxa"/>
          <w:right w:w="108" w:type="dxa"/>
        </w:tblCellMar>
      </w:tblPr>
      <w:tblGrid>
        <w:gridCol w:w="2501"/>
        <w:gridCol w:w="3277"/>
        <w:gridCol w:w="9161"/>
      </w:tblGrid>
      <w:tr>
        <w:tblPrEx>
          <w:tblLayout w:type="fixed"/>
          <w:tblCellMar>
            <w:top w:w="0" w:type="dxa"/>
            <w:left w:w="108" w:type="dxa"/>
            <w:bottom w:w="0" w:type="dxa"/>
            <w:right w:w="108" w:type="dxa"/>
          </w:tblCellMar>
        </w:tblPrEx>
        <w:trPr>
          <w:trHeight w:val="567" w:hRule="exact"/>
          <w:jc w:val="center"/>
        </w:trPr>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91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评价标准</w:t>
            </w:r>
          </w:p>
        </w:tc>
      </w:tr>
      <w:tr>
        <w:tblPrEx>
          <w:tblLayout w:type="fixed"/>
          <w:tblCellMar>
            <w:top w:w="0" w:type="dxa"/>
            <w:left w:w="108" w:type="dxa"/>
            <w:bottom w:w="0" w:type="dxa"/>
            <w:right w:w="108" w:type="dxa"/>
          </w:tblCellMar>
        </w:tblPrEx>
        <w:trPr>
          <w:trHeight w:val="56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1．基本情况（8分）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Layout w:type="fixed"/>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建设思路清晰，优势和特色显著。</w:t>
            </w:r>
          </w:p>
        </w:tc>
      </w:tr>
      <w:tr>
        <w:tblPrEx>
          <w:tblLayout w:type="fixed"/>
          <w:tblCellMar>
            <w:top w:w="0" w:type="dxa"/>
            <w:left w:w="108" w:type="dxa"/>
            <w:bottom w:w="0" w:type="dxa"/>
            <w:right w:w="108" w:type="dxa"/>
          </w:tblCellMar>
        </w:tblPrEx>
        <w:trPr>
          <w:trHeight w:val="75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2．师资队伍（15分）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数量与结构</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项目负责人（专业带头人）具有高级专业技术职务，教学改革能力突出，全程统筹项目建设。师资队伍结构合理，专兼职结合，教授/副教授比例较高，整体水平高。</w:t>
            </w:r>
          </w:p>
        </w:tc>
      </w:tr>
      <w:tr>
        <w:tblPrEx>
          <w:tblLayout w:type="fixed"/>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教学团队</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依托专业建设有省级以上教学团队，制定并实施团队成员培训规划。</w:t>
            </w:r>
          </w:p>
        </w:tc>
      </w:tr>
      <w:tr>
        <w:tblPrEx>
          <w:tblLayout w:type="fixed"/>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教学奖励情况</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依托专业综合改革成果获得省部级以上教学成果奖。</w:t>
            </w:r>
          </w:p>
        </w:tc>
      </w:tr>
      <w:tr>
        <w:tblPrEx>
          <w:tblLayout w:type="fixed"/>
          <w:tblCellMar>
            <w:top w:w="0" w:type="dxa"/>
            <w:left w:w="108" w:type="dxa"/>
            <w:bottom w:w="0" w:type="dxa"/>
            <w:right w:w="108" w:type="dxa"/>
          </w:tblCellMar>
        </w:tblPrEx>
        <w:trPr>
          <w:trHeight w:val="699" w:hRule="exact"/>
          <w:jc w:val="center"/>
        </w:trPr>
        <w:tc>
          <w:tcPr>
            <w:tcW w:w="2501"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3．教学建设（20分）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用于实验室（实习基地）建设、图书资料、课程建设、教材建设的经费充足，立项建设以来持续增长。</w:t>
            </w:r>
          </w:p>
        </w:tc>
      </w:tr>
      <w:tr>
        <w:tblPrEx>
          <w:tblLayout w:type="fixed"/>
          <w:tblCellMar>
            <w:top w:w="0" w:type="dxa"/>
            <w:left w:w="108" w:type="dxa"/>
            <w:bottom w:w="0" w:type="dxa"/>
            <w:right w:w="108" w:type="dxa"/>
          </w:tblCellMar>
        </w:tblPrEx>
        <w:trPr>
          <w:trHeight w:val="567"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实验室、实习基地建设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实验室、实习基地和图书资料等能满足培养高素质人才的需求。</w:t>
            </w:r>
          </w:p>
        </w:tc>
      </w:tr>
      <w:tr>
        <w:tblPrEx>
          <w:tblLayout w:type="fixed"/>
          <w:tblCellMar>
            <w:top w:w="0" w:type="dxa"/>
            <w:left w:w="108" w:type="dxa"/>
            <w:bottom w:w="0" w:type="dxa"/>
            <w:right w:w="108" w:type="dxa"/>
          </w:tblCellMar>
        </w:tblPrEx>
        <w:trPr>
          <w:trHeight w:val="873"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课程和教材建设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优化课程设置，形成具有鲜明特色的专业核心课程群；依托专业综合改革项目，形成一系列高水平的教材成果。</w:t>
            </w:r>
          </w:p>
        </w:tc>
      </w:tr>
      <w:tr>
        <w:tblPrEx>
          <w:tblLayout w:type="fixed"/>
          <w:tblCellMar>
            <w:top w:w="0" w:type="dxa"/>
            <w:left w:w="108" w:type="dxa"/>
            <w:bottom w:w="0" w:type="dxa"/>
            <w:right w:w="108" w:type="dxa"/>
          </w:tblCellMar>
        </w:tblPrEx>
        <w:trPr>
          <w:trHeight w:val="847" w:hRule="exact"/>
          <w:jc w:val="center"/>
        </w:trPr>
        <w:tc>
          <w:tcPr>
            <w:tcW w:w="2501"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管理制度建设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更新教学管理理念，加强教学过程管理，建立严格的教学管理制度；根据学科和行业发展要求，结合本专业特点，研究制定专业的教学质量保障体系。</w:t>
            </w:r>
          </w:p>
        </w:tc>
      </w:tr>
      <w:tr>
        <w:tblPrEx>
          <w:tblLayout w:type="fixed"/>
          <w:tblCellMar>
            <w:top w:w="0" w:type="dxa"/>
            <w:left w:w="108" w:type="dxa"/>
            <w:bottom w:w="0" w:type="dxa"/>
            <w:right w:w="108" w:type="dxa"/>
          </w:tblCellMar>
        </w:tblPrEx>
        <w:trPr>
          <w:trHeight w:val="859" w:hRule="exac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4．教学改革（30分）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教学内容与课程体系改革符合创新创业人才培养的要求，能集成、整合、深化已有教学改革成果，重视对学生实践能力，创新精神和创业能力的培养。</w:t>
            </w:r>
          </w:p>
        </w:tc>
      </w:tr>
      <w:tr>
        <w:tblPrEx>
          <w:tblLayout w:type="fixed"/>
          <w:tblCellMar>
            <w:top w:w="0" w:type="dxa"/>
            <w:left w:w="108" w:type="dxa"/>
            <w:bottom w:w="0" w:type="dxa"/>
            <w:right w:w="108" w:type="dxa"/>
          </w:tblCellMar>
        </w:tblPrEx>
        <w:trPr>
          <w:trHeight w:val="857"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教学方法改革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实行互动式、研究型教学，在专业内推广小班授课，注重学生学习能力和综合素质考核、实行多元考核方式，主动将科研成果带入专业教学。</w:t>
            </w:r>
          </w:p>
        </w:tc>
      </w:tr>
      <w:tr>
        <w:tblPrEx>
          <w:tblLayout w:type="fixed"/>
          <w:tblCellMar>
            <w:top w:w="0" w:type="dxa"/>
            <w:left w:w="108" w:type="dxa"/>
            <w:bottom w:w="0" w:type="dxa"/>
            <w:right w:w="108" w:type="dxa"/>
          </w:tblCellMar>
        </w:tblPrEx>
        <w:trPr>
          <w:trHeight w:val="1145"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实践教学改革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积极开展实践教学，培养学生发现、分析和解决问题的能力，开出实验数量、质量符合课程教学要求；实践教学体系完善，依托专业建设的省级以上校内或校外实践教学基地不少于1个。</w:t>
            </w:r>
          </w:p>
        </w:tc>
      </w:tr>
      <w:tr>
        <w:tblPrEx>
          <w:tblLayout w:type="fixed"/>
          <w:tblCellMar>
            <w:top w:w="0" w:type="dxa"/>
            <w:left w:w="108" w:type="dxa"/>
            <w:bottom w:w="0" w:type="dxa"/>
            <w:right w:w="108" w:type="dxa"/>
          </w:tblCellMar>
        </w:tblPrEx>
        <w:trPr>
          <w:trHeight w:val="849"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5．人才培养质量（15分）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培养目标符合创新创业人才成长需要，培养规格定位准确；人才培养方案细致、可操作性强，依托专业建设了实验教学示范中心或人才培养模式创新实验区。</w:t>
            </w:r>
          </w:p>
        </w:tc>
      </w:tr>
      <w:tr>
        <w:tblPrEx>
          <w:tblLayout w:type="fixed"/>
          <w:tblCellMar>
            <w:top w:w="0" w:type="dxa"/>
            <w:left w:w="108" w:type="dxa"/>
            <w:bottom w:w="0" w:type="dxa"/>
            <w:right w:w="108" w:type="dxa"/>
          </w:tblCellMar>
        </w:tblPrEx>
        <w:trPr>
          <w:trHeight w:val="832"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创新精神及实践能力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学生创新精神和实践能力普遍较强，创新成果较多；学生在校期间参加省级及以上各类竞赛并获奖。</w:t>
            </w:r>
          </w:p>
        </w:tc>
      </w:tr>
      <w:tr>
        <w:tblPrEx>
          <w:tblLayout w:type="fixed"/>
          <w:tblCellMar>
            <w:top w:w="0" w:type="dxa"/>
            <w:left w:w="108" w:type="dxa"/>
            <w:bottom w:w="0" w:type="dxa"/>
            <w:right w:w="108" w:type="dxa"/>
          </w:tblCellMar>
        </w:tblPrEx>
        <w:trPr>
          <w:trHeight w:val="1129"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服务社会能力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专业建设能密切联系本地经济社会发展，在与产业和行业企业协同育人领域成效显著，建立了持久、高效的工作体制机制；毕业生广泛受到用人单位好评，初次就业率较高。</w:t>
            </w:r>
          </w:p>
        </w:tc>
      </w:tr>
      <w:tr>
        <w:tblPrEx>
          <w:tblLayout w:type="fixed"/>
          <w:tblCellMar>
            <w:top w:w="0" w:type="dxa"/>
            <w:left w:w="108" w:type="dxa"/>
            <w:bottom w:w="0" w:type="dxa"/>
            <w:right w:w="108" w:type="dxa"/>
          </w:tblCellMar>
        </w:tblPrEx>
        <w:trPr>
          <w:trHeight w:val="861" w:hRule="exact"/>
          <w:jc w:val="center"/>
        </w:trPr>
        <w:tc>
          <w:tcPr>
            <w:tcW w:w="2501"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6．建设成果（12分）</w:t>
            </w: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建设成果为原创，创新性强；起到一定的示范作用和对教学改革起到促进作用。</w:t>
            </w:r>
          </w:p>
        </w:tc>
      </w:tr>
      <w:tr>
        <w:tblPrEx>
          <w:tblLayout w:type="fixed"/>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建设成果的价值</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建设成果水平较高，具有推广和应用价值。</w:t>
            </w:r>
          </w:p>
        </w:tc>
      </w:tr>
    </w:tbl>
    <w:p>
      <w:pPr>
        <w:rPr>
          <w:rFonts w:ascii="仿宋_GB2312" w:eastAsia="仿宋_GB2312"/>
          <w:sz w:val="24"/>
          <w:szCs w:val="24"/>
        </w:rPr>
      </w:pPr>
      <w:r>
        <w:rPr>
          <w:rFonts w:hint="eastAsia" w:ascii="仿宋_GB2312" w:eastAsia="仿宋_GB2312"/>
          <w:sz w:val="24"/>
          <w:szCs w:val="24"/>
        </w:rPr>
        <w:fldChar w:fldCharType="end"/>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广东省本科高校人才培养模式创新实验区验收指标（试行）</w:t>
      </w:r>
    </w:p>
    <w:tbl>
      <w:tblPr>
        <w:tblStyle w:val="6"/>
        <w:tblW w:w="15128" w:type="dxa"/>
        <w:jc w:val="center"/>
        <w:tblCellSpacing w:w="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385"/>
        <w:gridCol w:w="2328"/>
        <w:gridCol w:w="114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49" w:hRule="atLeast"/>
          <w:tblCellSpacing w:w="7" w:type="dxa"/>
          <w:jc w:val="center"/>
        </w:trPr>
        <w:tc>
          <w:tcPr>
            <w:tcW w:w="136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31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9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49" w:hRule="atLeast"/>
          <w:tblCellSpacing w:w="7" w:type="dxa"/>
          <w:jc w:val="center"/>
        </w:trPr>
        <w:tc>
          <w:tcPr>
            <w:tcW w:w="1364"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49" w:hRule="atLeast"/>
          <w:tblCellSpacing w:w="7" w:type="dxa"/>
          <w:jc w:val="center"/>
        </w:trPr>
        <w:tc>
          <w:tcPr>
            <w:tcW w:w="1364" w:type="dxa"/>
            <w:vMerge w:val="continue"/>
            <w:shd w:val="clear" w:color="auto" w:fill="FFFFFF"/>
            <w:vAlign w:val="center"/>
          </w:tcPr>
          <w:p>
            <w:pPr>
              <w:jc w:val="cente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2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指导思想</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教育理念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对人才培养模式进行综合性配套改革，突破旧有模式，教育教学理念具有较强的创新性。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59"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理论研究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加强人才培养模式改革进行了较深入的理论研究和社会调研，形成了有特色的人才培养研究成果。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5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培养方案</w:t>
            </w:r>
          </w:p>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培养目标</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根据经济社会发展需要，结合学校的办学定位、办学特色，明确培养目标，定位科学合理.培养目标明确。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7"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方案设计</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具备较为完整和科学的人才培养方案，创新点突出，特色鲜明，对本领域复合型拔尖创新人才或应用型人才培养具有较为深刻的认识和理解，人才培养定位准确，有明确的工作思路和解决问题的方法。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0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可行性</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措施具体，可操作性强，并按培养创新创业人才要求对人才培养方案进行了修订。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79" w:hRule="atLeast"/>
          <w:tblCellSpacing w:w="7" w:type="dxa"/>
          <w:jc w:val="center"/>
        </w:trPr>
        <w:tc>
          <w:tcPr>
            <w:tcW w:w="1364"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教学改革</w:t>
            </w:r>
          </w:p>
          <w:p>
            <w:pPr>
              <w:rPr>
                <w:rFonts w:ascii="仿宋_GB2312" w:eastAsia="仿宋_GB2312"/>
                <w:sz w:val="24"/>
                <w:szCs w:val="24"/>
              </w:rPr>
            </w:pPr>
            <w:r>
              <w:rPr>
                <w:rFonts w:hint="eastAsia" w:ascii="仿宋_GB2312" w:eastAsia="仿宋_GB2312"/>
                <w:sz w:val="24"/>
                <w:szCs w:val="24"/>
              </w:rPr>
              <w:t>（20分）</w:t>
            </w:r>
          </w:p>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教学内容和方式改革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教学内容能够贴近社会实际，教学资源丰富，形式多样，即时动态更新，有新编教材；在实验区内推广了小班教学或互动式、研究型教学，主动将科研成果带入课堂。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71" w:hRule="atLeast"/>
          <w:tblCellSpacing w:w="7" w:type="dxa"/>
          <w:jc w:val="center"/>
        </w:trPr>
        <w:tc>
          <w:tcPr>
            <w:tcW w:w="1364" w:type="dxa"/>
            <w:vMerge w:val="continue"/>
            <w:shd w:val="clear" w:color="auto" w:fill="auto"/>
            <w:vAlign w:val="center"/>
          </w:tcPr>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实行多元考核方式，注重学生知识应用和自主学习能力考察，建立了行之有效的学分积累和转换制度，配套一系列灵活的过程考核制度。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411"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保障体系</w:t>
            </w:r>
          </w:p>
          <w:p>
            <w:pPr>
              <w:rPr>
                <w:rFonts w:ascii="仿宋_GB2312" w:eastAsia="仿宋_GB2312"/>
                <w:sz w:val="24"/>
                <w:szCs w:val="24"/>
              </w:rPr>
            </w:pPr>
            <w:r>
              <w:rPr>
                <w:rFonts w:hint="eastAsia" w:ascii="仿宋_GB2312" w:eastAsia="仿宋_GB2312"/>
                <w:sz w:val="24"/>
                <w:szCs w:val="24"/>
              </w:rPr>
              <w:t>（20分）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师资队伍</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师资队伍结构合理，师德高尚，业务素质精良，专职教师的主要精力投入教学工作，兼职教师队伍积极参与教学，水平较高，数量充足。项目负责人（专业带头人）具有高级专业技术职务。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466"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教学条件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实践实验条件优良，教室、实验室教学设备齐全、先进，基本教学资料齐备，教材选用严格，图书资料（含网络数据库和数字化图书）丰富，使用方便。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453"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管理与运行</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建立了长效的协同育人机制，有完备的运行管理制度并得到校内有关部门的紧密配合，重视过程管理，有稳定的经费投入和运行机制。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2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经费政策保障</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学校重视，在教育教学改革、师资配备、经费保障等方面有明确的鼓励和支持政策。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72" w:hRule="atLeast"/>
          <w:tblCellSpacing w:w="7" w:type="dxa"/>
          <w:jc w:val="center"/>
        </w:trPr>
        <w:tc>
          <w:tcPr>
            <w:tcW w:w="1364" w:type="dxa"/>
            <w:shd w:val="clear" w:color="auto" w:fill="auto"/>
            <w:vAlign w:val="center"/>
          </w:tcPr>
          <w:p>
            <w:pPr>
              <w:rPr>
                <w:rFonts w:ascii="仿宋_GB2312" w:eastAsia="仿宋_GB2312"/>
                <w:sz w:val="24"/>
                <w:szCs w:val="24"/>
              </w:rPr>
            </w:pPr>
            <w:r>
              <w:rPr>
                <w:rFonts w:hint="eastAsia" w:ascii="仿宋_GB2312" w:eastAsia="仿宋_GB2312"/>
                <w:sz w:val="24"/>
                <w:szCs w:val="24"/>
              </w:rPr>
              <w:t>培养效果</w:t>
            </w:r>
          </w:p>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人才综合素质</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95" w:hRule="atLeast"/>
          <w:tblCellSpacing w:w="7" w:type="dxa"/>
          <w:jc w:val="center"/>
        </w:trPr>
        <w:tc>
          <w:tcPr>
            <w:tcW w:w="136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成果的创新和示范</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建设成果为原创，创新性强，水平较高，具有推广和应用价值，起到一定的示范作用和对教学改革起到促进作用。</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广东省精品视频公开课验收指标（试行）</w:t>
      </w:r>
    </w:p>
    <w:tbl>
      <w:tblPr>
        <w:tblStyle w:val="6"/>
        <w:tblW w:w="14880" w:type="dxa"/>
        <w:jc w:val="center"/>
        <w:tblCellSpacing w:w="7" w:type="dxa"/>
        <w:tblInd w:w="83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518"/>
        <w:gridCol w:w="2635"/>
        <w:gridCol w:w="10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0" w:hRule="atLeast"/>
          <w:tblCellSpacing w:w="7" w:type="dxa"/>
          <w:jc w:val="center"/>
        </w:trPr>
        <w:tc>
          <w:tcPr>
            <w:tcW w:w="1497"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621"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706"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0"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10"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7"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教师风采</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口才</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讲解深入浅出、清晰透彻，个性鲜明，易于理解。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知识</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对学科领域知识和相关学科知识都比较熟悉，学术造诣深厚。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能力</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教学能力强，教学经验丰富</w:t>
            </w:r>
            <w:r>
              <w:rPr>
                <w:rFonts w:hint="eastAsia" w:ascii="仿宋_GB2312" w:eastAsia="仿宋_GB2312" w:hAnsiTheme="minorEastAsia"/>
                <w:bCs/>
                <w:sz w:val="24"/>
                <w:szCs w:val="24"/>
              </w:rPr>
              <w:t>，具有高级专业技术职务；</w:t>
            </w:r>
            <w:r>
              <w:rPr>
                <w:rFonts w:hint="eastAsia" w:ascii="仿宋_GB2312" w:eastAsia="仿宋_GB2312"/>
                <w:sz w:val="24"/>
                <w:szCs w:val="24"/>
              </w:rPr>
              <w:t>教学特色鲜明，通过提问、讨论等多种教学方法调动学习者学习积极性，教学效果较好。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敬业</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准备充分，严谨认真，维护师德。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课程内容</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内容组织</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理论联系实际，课内外结合，融知识传授、能力培养、素质教育于一体。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内容本体</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课程内容具备科学性、先进性、合理性、丰富性；具有特色。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技术保障</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网站建设情况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学校建设有专门的课程网站并开通了课程共享渠道，网站点播数量较多且播放清晰顺畅。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课程视频制作情况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课程视频录像拍摄和制作水平较高，讲数超过4讲，每讲时长达到30分钟以上。课程制作达到了国家规定的“精品视频公开课拍摄制作技术标准（修订版）”的要求。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4" w:hRule="atLeast"/>
          <w:tblCellSpacing w:w="7" w:type="dxa"/>
          <w:jc w:val="center"/>
        </w:trPr>
        <w:tc>
          <w:tcPr>
            <w:tcW w:w="1497"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p>
            <w:pPr>
              <w:jc w:val="center"/>
              <w:rPr>
                <w:rFonts w:ascii="仿宋_GB2312" w:eastAsia="仿宋_GB2312"/>
                <w:sz w:val="24"/>
                <w:szCs w:val="24"/>
              </w:rPr>
            </w:pPr>
            <w:r>
              <w:rPr>
                <w:rFonts w:hint="eastAsia" w:ascii="仿宋_GB2312" w:eastAsia="仿宋_GB2312"/>
                <w:sz w:val="24"/>
                <w:szCs w:val="24"/>
              </w:rPr>
              <w:t>（40分）</w:t>
            </w: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10706" w:type="dxa"/>
            <w:shd w:val="clear" w:color="auto" w:fill="auto"/>
            <w:vAlign w:val="center"/>
          </w:tcPr>
          <w:p>
            <w:pPr>
              <w:rPr>
                <w:rFonts w:ascii="仿宋_GB2312" w:eastAsia="仿宋_GB2312"/>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1"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课程已经在本校或者其他高校教学实践过程中得到检验，课程对于本专业或相关专业教学促进作用明显，课程的反响较好，评价较高。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成果价值</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课程建设成果丰富、体系完备且课程质量较高，采用了先进的教学方式和前沿的教学内容，注重突出学校办学特色和学科优势，在国内同类型课程中具有代表性和示范性。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推广及影响力</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课程符合网络传播的特点，已被其他高校或单位采用，在省内外具有一定影响力和知名度，反馈良好。</w:t>
            </w:r>
          </w:p>
        </w:tc>
      </w:tr>
    </w:tbl>
    <w:p>
      <w:pPr>
        <w:jc w:val="center"/>
        <w:rPr>
          <w:rFonts w:ascii="仿宋_GB2312" w:eastAsia="仿宋_GB2312"/>
          <w:b/>
          <w:sz w:val="30"/>
          <w:szCs w:val="30"/>
        </w:rPr>
      </w:pPr>
      <w:r>
        <w:rPr>
          <w:rFonts w:hint="eastAsia" w:ascii="仿宋_GB2312" w:eastAsia="仿宋_GB2312"/>
          <w:b/>
          <w:sz w:val="30"/>
          <w:szCs w:val="30"/>
        </w:rPr>
        <w:t>广东省精品资源共享课验收指标（试行）</w:t>
      </w:r>
    </w:p>
    <w:tbl>
      <w:tblPr>
        <w:tblStyle w:val="6"/>
        <w:tblW w:w="14735" w:type="dxa"/>
        <w:jc w:val="center"/>
        <w:tblCellSpacing w:w="7" w:type="dxa"/>
        <w:tblInd w:w="39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514"/>
        <w:gridCol w:w="2197"/>
        <w:gridCol w:w="100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49" w:hRule="atLeast"/>
          <w:tblCellSpacing w:w="7" w:type="dxa"/>
          <w:jc w:val="center"/>
        </w:trPr>
        <w:tc>
          <w:tcPr>
            <w:tcW w:w="249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8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0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49" w:hRule="atLeast"/>
          <w:tblCellSpacing w:w="7" w:type="dxa"/>
          <w:jc w:val="center"/>
        </w:trPr>
        <w:tc>
          <w:tcPr>
            <w:tcW w:w="2493" w:type="dxa"/>
            <w:vMerge w:val="restart"/>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基本情况（10分）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建设任务完成情况</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基本完成了申报时预设的各项建设目标。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49" w:hRule="atLeast"/>
          <w:tblCellSpacing w:w="7" w:type="dxa"/>
          <w:jc w:val="center"/>
        </w:trPr>
        <w:tc>
          <w:tcPr>
            <w:tcW w:w="2493" w:type="dxa"/>
            <w:vMerge w:val="continue"/>
            <w:shd w:val="clear" w:color="auto" w:fill="FFFFFF"/>
            <w:vAlign w:val="center"/>
          </w:tcPr>
          <w:p>
            <w:pPr>
              <w:jc w:val="cente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建设思路</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655"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课程建设团队（10分）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课程负责人</w:t>
            </w:r>
          </w:p>
        </w:tc>
        <w:tc>
          <w:tcPr>
            <w:tcW w:w="10003" w:type="dxa"/>
            <w:shd w:val="clear" w:color="auto" w:fill="FFFFFF"/>
            <w:vAlign w:val="center"/>
          </w:tcPr>
          <w:p>
            <w:pPr>
              <w:rPr>
                <w:rFonts w:ascii="仿宋_GB2312" w:eastAsia="仿宋_GB2312" w:hAnsiTheme="minorEastAsia"/>
                <w:sz w:val="24"/>
                <w:szCs w:val="24"/>
                <w:highlight w:val="yellow"/>
              </w:rPr>
            </w:pPr>
            <w:r>
              <w:rPr>
                <w:rFonts w:hint="eastAsia" w:ascii="仿宋_GB2312" w:eastAsia="仿宋_GB2312" w:hAnsiTheme="minorEastAsia"/>
                <w:bCs/>
                <w:sz w:val="24"/>
                <w:szCs w:val="24"/>
              </w:rPr>
              <w:t>具有良好师德，学术造诣深厚，具有高级专业技术职务；负责本课程建设和教学工作，教学经验丰富；教学能力强，教学特色鲜明，教学成效显著。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655"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团队成员</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团队知识结构、年龄结构、学缘结构合理；团队成员中包括专业教师和教育技术骨干，任务分工合理。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课程建设与实施（20分）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内容定位</w:t>
            </w:r>
          </w:p>
        </w:tc>
        <w:tc>
          <w:tcPr>
            <w:tcW w:w="10003" w:type="dxa"/>
            <w:shd w:val="clear" w:color="auto" w:fill="FFFFFF"/>
            <w:vAlign w:val="center"/>
          </w:tcPr>
          <w:p>
            <w:pPr>
              <w:rPr>
                <w:rFonts w:ascii="仿宋_GB2312" w:eastAsia="仿宋_GB2312" w:hAnsiTheme="minorEastAsia"/>
                <w:kern w:val="0"/>
                <w:sz w:val="24"/>
                <w:szCs w:val="24"/>
              </w:rPr>
            </w:pPr>
            <w:r>
              <w:rPr>
                <w:rFonts w:hint="eastAsia" w:ascii="仿宋_GB2312" w:eastAsia="仿宋_GB2312" w:hAnsiTheme="minorEastAsia"/>
                <w:bCs/>
                <w:sz w:val="24"/>
                <w:szCs w:val="24"/>
              </w:rPr>
              <w:t>课程定位明确，对实现人才培养目标起重要的支撑或促进作用，且与前导、后续课程衔接得当。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内容组织</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内容选择</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教学方法和手段</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重视探究性学习、研究性学习，</w:t>
            </w:r>
            <w:r>
              <w:rPr>
                <w:rFonts w:hint="eastAsia" w:ascii="仿宋_GB2312" w:eastAsia="仿宋_GB2312" w:hAnsiTheme="minorEastAsia"/>
                <w:sz w:val="24"/>
                <w:szCs w:val="24"/>
              </w:rPr>
              <w:t>能根据课程内容和学生特点，</w:t>
            </w:r>
            <w:r>
              <w:rPr>
                <w:rFonts w:hint="eastAsia" w:ascii="仿宋_GB2312" w:eastAsia="仿宋_GB2312" w:hAnsiTheme="minorEastAsia"/>
                <w:bCs/>
                <w:sz w:val="24"/>
                <w:szCs w:val="24"/>
              </w:rPr>
              <w:t>灵活运用多种恰当的教学方法和教学手段，有效调动学生学习的积极性，激发学生学习兴趣，促进学生学习能力发展，教学效果好。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课程资源（25分）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资源建设</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课程基本资源质量高，能系统反映本课程教学理念、教学思想、教学设计，及时反映高等教育教学改革和社会、科技发展的成果，持续更新和完善课程教学资源。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资源组织</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sz w:val="24"/>
                <w:szCs w:val="24"/>
              </w:rPr>
              <w:t>各类基本资源均按照教学单元、专题或模块的框架，予以合理、有序的组织、配置和应用，与知识点、技能点对应清晰，导航简明。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教学录像</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教案或演示文稿</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教案或演示文稿经过精心设计和制作，内容准确、系统、完整，有助于提高学生学习兴趣和教学效果。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其他基本资源</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重点难点指导、作业、参考资料目录及其他类型基本资源契合教学要求，针对性、适用性强，对提高教学效果有实质性帮助。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10" w:hRule="atLeast"/>
          <w:tblCellSpacing w:w="7" w:type="dxa"/>
          <w:jc w:val="center"/>
        </w:trPr>
        <w:tc>
          <w:tcPr>
            <w:tcW w:w="249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知识产权保护（10分）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原创性和非原创性资源处理</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579" w:hRule="atLeast"/>
          <w:tblCellSpacing w:w="7" w:type="dxa"/>
          <w:jc w:val="center"/>
        </w:trPr>
        <w:tc>
          <w:tcPr>
            <w:tcW w:w="2493" w:type="dxa"/>
            <w:vMerge w:val="restart"/>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sz w:val="24"/>
                <w:szCs w:val="24"/>
              </w:rPr>
              <w:t>建设成果（25分）</w:t>
            </w:r>
          </w:p>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建设成果的创新性</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开放共享情况</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已建设开放的网络平台并开通较为畅通的共享渠道，课程网上共享已具有一定的点击量，受到好评。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成果价值</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建设成果</w:t>
            </w:r>
            <w:r>
              <w:rPr>
                <w:rFonts w:hint="eastAsia" w:ascii="仿宋_GB2312" w:eastAsia="仿宋_GB2312" w:hAnsiTheme="minorEastAsia"/>
                <w:sz w:val="24"/>
                <w:szCs w:val="24"/>
              </w:rPr>
              <w:t>起到良好的示范作用，对教学改革及提高人才培养质量起到积极的促进作用</w:t>
            </w:r>
            <w:r>
              <w:rPr>
                <w:rFonts w:hint="eastAsia" w:ascii="仿宋_GB2312" w:eastAsia="仿宋_GB2312" w:hAnsiTheme="minorEastAsia"/>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71"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推广及影响力</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本课程的资源已在高校推广应用，对同类课程的教学质量提升发挥积极作用，对社会学习者的自主学习提供有益帮助。</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广东省高等教育教学改革项目验收指标（试行）</w:t>
      </w:r>
    </w:p>
    <w:tbl>
      <w:tblPr>
        <w:tblStyle w:val="6"/>
        <w:tblW w:w="14806" w:type="dxa"/>
        <w:jc w:val="center"/>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268"/>
        <w:gridCol w:w="10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blHeader/>
          <w:jc w:val="center"/>
        </w:trPr>
        <w:tc>
          <w:tcPr>
            <w:tcW w:w="2500"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26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3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指标内涵说明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blHeader/>
          <w:jc w:val="center"/>
        </w:trPr>
        <w:tc>
          <w:tcPr>
            <w:tcW w:w="2500"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blHeader/>
          <w:jc w:val="center"/>
        </w:trPr>
        <w:tc>
          <w:tcPr>
            <w:tcW w:w="2500" w:type="dxa"/>
            <w:vMerge w:val="continue"/>
            <w:shd w:val="clear" w:color="auto" w:fill="auto"/>
            <w:vAlign w:val="center"/>
          </w:tcPr>
          <w:p>
            <w:pPr>
              <w:jc w:val="cente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项目团队基础（10分）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项目团队</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项目负责人学术水平较高且具体主持该项目，项目团队职称、学历及学科背景结构合理，团队各成员间分工协作良好。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项目实施及建设情况（35分）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建设实施情况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项目按照既定实施方案进行建设，对于各阶段建设任务及完成情况都有清晰阐述。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改革举措落实情况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项目申报时预设的各项改革举措如期实施，计划解决的问题已如期得到解决。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保障和支持情况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项目实施过程中得到了学校充足的经费保障和政策支持，能够调动项目需要的研究资源和设备。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建设成果和应用推广（35分）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项目选题和建设成果具有理论和现实意义，对推动我省相关领域教学改革和教学水平提高具有促进作用；项目成果新颖，水平层次较高，有具体的实践成果。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共享和推广</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项目成果受益面广，已在本校相关专业或同类院校中得到应用和推广，或项目建设成果已其他单位完整采纳。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项目特色（10分）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项目水平与特色</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项目在专业与课程建设、教材、教学软件等教学基本建设、教学管理运行机制、教学方法改革、人才培养及教学质量保障机制等方面具有的较高水平，具有自身特色。</w:t>
            </w:r>
          </w:p>
        </w:tc>
      </w:tr>
    </w:tbl>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广东省普通高等学校特色专业建设点评审指标（试行）</w:t>
      </w:r>
    </w:p>
    <w:tbl>
      <w:tblPr>
        <w:tblStyle w:val="6"/>
        <w:tblW w:w="14610" w:type="dxa"/>
        <w:jc w:val="center"/>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419"/>
        <w:gridCol w:w="9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367"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4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82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1.建设目标与支持保障（15分）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824" w:type="dxa"/>
            <w:vAlign w:val="center"/>
          </w:tcPr>
          <w:p>
            <w:pPr>
              <w:rPr>
                <w:rFonts w:ascii="仿宋_GB2312" w:eastAsia="仿宋_GB2312"/>
                <w:sz w:val="24"/>
                <w:szCs w:val="24"/>
              </w:rPr>
            </w:pPr>
            <w:r>
              <w:rPr>
                <w:rFonts w:hint="eastAsia" w:ascii="仿宋_GB2312" w:eastAsia="仿宋_GB2312"/>
                <w:sz w:val="24"/>
                <w:szCs w:val="24"/>
              </w:rPr>
              <w:t>专业定位准确，思路清晰，符合经济建设与社会发展需求，具有先进的教育思想观念，质量意识强。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专业建设措施</w:t>
            </w:r>
          </w:p>
        </w:tc>
        <w:tc>
          <w:tcPr>
            <w:tcW w:w="9824" w:type="dxa"/>
            <w:vAlign w:val="center"/>
          </w:tcPr>
          <w:p>
            <w:pPr>
              <w:rPr>
                <w:rFonts w:ascii="仿宋_GB2312" w:eastAsia="仿宋_GB2312"/>
                <w:sz w:val="24"/>
                <w:szCs w:val="24"/>
              </w:rPr>
            </w:pPr>
            <w:r>
              <w:rPr>
                <w:rFonts w:hint="eastAsia" w:ascii="仿宋_GB2312" w:eastAsia="仿宋_GB2312"/>
                <w:sz w:val="24"/>
                <w:szCs w:val="24"/>
              </w:rPr>
              <w:t>专业发展规划科学合理, 分期建设目标明确，体现学科优势和特色。专业建设措施得力，成效显著。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支持保障</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在专业发展、课程和教材建设、人才引进和青年教师培训等方面有切实有效的政策支持和经费保障。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2.师资队伍（15分）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整体结构</w:t>
            </w:r>
          </w:p>
        </w:tc>
        <w:tc>
          <w:tcPr>
            <w:tcW w:w="9824" w:type="dxa"/>
            <w:vAlign w:val="center"/>
          </w:tcPr>
          <w:p>
            <w:pPr>
              <w:rPr>
                <w:rFonts w:ascii="仿宋_GB2312" w:eastAsia="仿宋_GB2312"/>
                <w:bCs/>
                <w:sz w:val="24"/>
                <w:szCs w:val="24"/>
              </w:rPr>
            </w:pPr>
            <w:r>
              <w:rPr>
                <w:rFonts w:hint="eastAsia" w:ascii="仿宋_GB2312" w:eastAsia="仿宋_GB2312"/>
                <w:sz w:val="24"/>
                <w:szCs w:val="24"/>
              </w:rPr>
              <w:t>队伍年龄结构、职称结构、学缘结构合理，发展趋势好。</w:t>
            </w:r>
            <w:r>
              <w:rPr>
                <w:rFonts w:hint="eastAsia" w:ascii="仿宋_GB2312" w:eastAsia="仿宋_GB2312"/>
                <w:bCs/>
                <w:sz w:val="24"/>
                <w:szCs w:val="24"/>
              </w:rPr>
              <w:t>教授、副教授比例较高，有高</w:t>
            </w:r>
            <w:r>
              <w:rPr>
                <w:rFonts w:hint="eastAsia" w:ascii="仿宋_GB2312" w:eastAsia="仿宋_GB2312"/>
                <w:sz w:val="24"/>
                <w:szCs w:val="24"/>
              </w:rPr>
              <w:t>水平、高学历学科专业带头人，并有效推动本专业的建设。形成专兼职结合的教师队伍。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824" w:type="dxa"/>
            <w:vAlign w:val="center"/>
          </w:tcPr>
          <w:p>
            <w:pPr>
              <w:rPr>
                <w:rFonts w:ascii="仿宋_GB2312" w:eastAsia="仿宋_GB2312"/>
                <w:sz w:val="24"/>
                <w:szCs w:val="24"/>
              </w:rPr>
            </w:pPr>
            <w:r>
              <w:rPr>
                <w:rFonts w:hint="eastAsia" w:ascii="仿宋_GB2312" w:eastAsia="仿宋_GB2312"/>
                <w:sz w:val="24"/>
                <w:szCs w:val="24"/>
              </w:rPr>
              <w:t>专业师资引进、培养规划和配套措施；有学校和行业、企业相结合的师资培养联动机制，能利用社会资源提升教师专业水平和实践能力。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教师素质</w:t>
            </w:r>
          </w:p>
        </w:tc>
        <w:tc>
          <w:tcPr>
            <w:tcW w:w="9824" w:type="dxa"/>
            <w:vAlign w:val="center"/>
          </w:tcPr>
          <w:p>
            <w:pPr>
              <w:rPr>
                <w:rFonts w:ascii="仿宋_GB2312" w:eastAsia="仿宋_GB2312"/>
                <w:sz w:val="24"/>
                <w:szCs w:val="24"/>
              </w:rPr>
            </w:pPr>
            <w:r>
              <w:rPr>
                <w:rFonts w:hint="eastAsia" w:ascii="仿宋_GB2312" w:eastAsia="仿宋_GB2312"/>
                <w:sz w:val="24"/>
                <w:szCs w:val="24"/>
              </w:rPr>
              <w:t xml:space="preserve">队伍整体素质高，有良好的科研背景和专业技术背景；专业主干课程由教授、副教授讲授；科研促进教学成效明显。项目立项以来，获省部级以上教学成果奖或同等层次的教学奖励超过1项。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3.教学条件（10分）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教学资源</w:t>
            </w:r>
          </w:p>
        </w:tc>
        <w:tc>
          <w:tcPr>
            <w:tcW w:w="9824" w:type="dxa"/>
            <w:vAlign w:val="center"/>
          </w:tcPr>
          <w:p>
            <w:pPr>
              <w:rPr>
                <w:rFonts w:ascii="仿宋_GB2312" w:eastAsia="仿宋_GB2312"/>
                <w:sz w:val="24"/>
                <w:szCs w:val="24"/>
              </w:rPr>
            </w:pPr>
            <w:r>
              <w:rPr>
                <w:rFonts w:hint="eastAsia" w:ascii="仿宋_GB2312" w:eastAsia="仿宋_GB2312"/>
                <w:sz w:val="24"/>
                <w:szCs w:val="24"/>
              </w:rPr>
              <w:t>教学基本设施（含实验室、实习基地、图书资料、校园网络建设等）能满足培养高素质人才的需要；充分开发、利用多种教学资源（如网上资源、电子教材等）。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824"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atLeast"/>
          <w:jc w:val="center"/>
        </w:trPr>
        <w:tc>
          <w:tcPr>
            <w:tcW w:w="2367" w:type="dxa"/>
            <w:vMerge w:val="restart"/>
            <w:vAlign w:val="center"/>
          </w:tcPr>
          <w:p>
            <w:pPr>
              <w:rPr>
                <w:rFonts w:ascii="仿宋_GB2312" w:eastAsia="仿宋_GB2312"/>
                <w:bCs/>
                <w:sz w:val="24"/>
                <w:szCs w:val="24"/>
              </w:rPr>
            </w:pPr>
          </w:p>
          <w:p>
            <w:pPr>
              <w:rPr>
                <w:rFonts w:ascii="仿宋_GB2312" w:eastAsia="仿宋_GB2312"/>
                <w:bCs/>
                <w:sz w:val="24"/>
                <w:szCs w:val="24"/>
              </w:rPr>
            </w:pPr>
            <w:r>
              <w:rPr>
                <w:rFonts w:hint="eastAsia" w:ascii="仿宋_GB2312" w:eastAsia="仿宋_GB2312"/>
                <w:bCs/>
                <w:sz w:val="24"/>
                <w:szCs w:val="24"/>
              </w:rPr>
              <w:t>4.建设成果（45分）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824" w:type="dxa"/>
            <w:vAlign w:val="center"/>
          </w:tcPr>
          <w:p>
            <w:pPr>
              <w:rPr>
                <w:rFonts w:ascii="仿宋_GB2312" w:eastAsia="仿宋_GB2312"/>
                <w:sz w:val="24"/>
                <w:szCs w:val="24"/>
              </w:rPr>
            </w:pPr>
            <w:r>
              <w:rPr>
                <w:rFonts w:hint="eastAsia" w:ascii="仿宋_GB2312" w:eastAsia="仿宋_GB2312"/>
                <w:sz w:val="24"/>
                <w:szCs w:val="24"/>
              </w:rPr>
              <w:t>立足于区域文化和产业，社会发展需求制定人才培养方案；培养方案（计划）设计科学，具有显著的专业办学特色，很好地反映培养目标对知识、能力及素质的要求。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bCs/>
                <w:sz w:val="24"/>
                <w:szCs w:val="24"/>
              </w:rPr>
              <w:t>课程与教材建设</w:t>
            </w:r>
          </w:p>
        </w:tc>
        <w:tc>
          <w:tcPr>
            <w:tcW w:w="9824" w:type="dxa"/>
            <w:vAlign w:val="center"/>
          </w:tcPr>
          <w:p>
            <w:pPr>
              <w:rPr>
                <w:rFonts w:ascii="仿宋_GB2312" w:eastAsia="仿宋_GB2312"/>
                <w:sz w:val="24"/>
                <w:szCs w:val="24"/>
              </w:rPr>
            </w:pPr>
            <w:r>
              <w:rPr>
                <w:rFonts w:hint="eastAsia" w:ascii="仿宋_GB2312" w:eastAsia="仿宋_GB2312"/>
                <w:sz w:val="24"/>
                <w:szCs w:val="24"/>
              </w:rPr>
              <w:t>课程体系和教学内容改革符合创新创业人才培养的要求，课程改革与建设有计划、有措施、成效显著，</w:t>
            </w:r>
            <w:r>
              <w:rPr>
                <w:rFonts w:hint="eastAsia" w:ascii="仿宋_GB2312" w:eastAsia="仿宋_GB2312"/>
                <w:bCs/>
                <w:sz w:val="24"/>
                <w:szCs w:val="24"/>
              </w:rPr>
              <w:t>近五年建成省级以上精品开放课程≥1门；依托专业建设，形成一系列高水平的教材成果。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8"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824"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实验教学体系建设（文科部分专业本条可适当放宽）</w:t>
            </w:r>
          </w:p>
        </w:tc>
        <w:tc>
          <w:tcPr>
            <w:tcW w:w="9824" w:type="dxa"/>
            <w:vAlign w:val="center"/>
          </w:tcPr>
          <w:p>
            <w:pPr>
              <w:rPr>
                <w:rFonts w:ascii="仿宋_GB2312" w:eastAsia="仿宋_GB2312"/>
                <w:sz w:val="24"/>
                <w:szCs w:val="24"/>
              </w:rPr>
            </w:pPr>
            <w:r>
              <w:rPr>
                <w:rFonts w:hint="eastAsia" w:ascii="仿宋_GB2312" w:eastAsia="仿宋_GB2312"/>
                <w:sz w:val="24"/>
                <w:szCs w:val="24"/>
              </w:rPr>
              <w:t>实践教学体系设计科学合理，及时动态更新。不断改革创新实践教学内容，开展多种形式的实践教学活动，创造条件促进学生较早参加科研和创新活动，实施效果良好；有稳定的校内外实习基地,能满足因材施教的实践教学要求；实习时间有保证,措施完善,效果好；实践教学队伍结构合理，满足教学需要；专业实验室场地充足、设备完善，运行投入常态化，开放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5.人才培养质量和社会声誉（15分）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人才培养质量</w:t>
            </w:r>
          </w:p>
        </w:tc>
        <w:tc>
          <w:tcPr>
            <w:tcW w:w="9824" w:type="dxa"/>
            <w:vAlign w:val="center"/>
          </w:tcPr>
          <w:p>
            <w:pPr>
              <w:rPr>
                <w:rFonts w:ascii="仿宋_GB2312" w:eastAsia="仿宋_GB2312"/>
                <w:sz w:val="24"/>
                <w:szCs w:val="24"/>
              </w:rPr>
            </w:pPr>
            <w:r>
              <w:rPr>
                <w:rFonts w:hint="eastAsia" w:ascii="仿宋_GB2312" w:eastAsia="仿宋_GB2312"/>
                <w:sz w:val="24"/>
                <w:szCs w:val="24"/>
              </w:rPr>
              <w:t>学生思想道德素养和文化素质水平较高；</w:t>
            </w:r>
            <w:r>
              <w:rPr>
                <w:rFonts w:hint="eastAsia" w:ascii="仿宋_GB2312" w:eastAsia="仿宋_GB2312"/>
                <w:bCs/>
                <w:sz w:val="24"/>
                <w:szCs w:val="24"/>
              </w:rPr>
              <w:t>学生创新精神和实践能力强。佐证材料中含有高水平的学生创新或获奖成果。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2367" w:type="dxa"/>
            <w:vMerge w:val="continue"/>
            <w:vAlign w:val="center"/>
          </w:tcPr>
          <w:p>
            <w:pPr>
              <w:rPr>
                <w:rFonts w:ascii="仿宋_GB2312" w:eastAsia="仿宋_GB2312"/>
                <w:bCs/>
                <w:sz w:val="24"/>
                <w:szCs w:val="24"/>
              </w:rPr>
            </w:pPr>
          </w:p>
        </w:tc>
        <w:tc>
          <w:tcPr>
            <w:tcW w:w="2419"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社会声誉</w:t>
            </w:r>
          </w:p>
        </w:tc>
        <w:tc>
          <w:tcPr>
            <w:tcW w:w="9824" w:type="dxa"/>
            <w:vAlign w:val="center"/>
          </w:tcPr>
          <w:p>
            <w:pPr>
              <w:rPr>
                <w:rFonts w:ascii="仿宋_GB2312" w:eastAsia="仿宋_GB2312"/>
                <w:bCs/>
                <w:sz w:val="24"/>
                <w:szCs w:val="24"/>
              </w:rPr>
            </w:pPr>
            <w:r>
              <w:rPr>
                <w:rFonts w:hint="eastAsia" w:ascii="仿宋_GB2312" w:eastAsia="仿宋_GB2312"/>
                <w:sz w:val="24"/>
                <w:szCs w:val="24"/>
              </w:rPr>
              <w:t>毕业生的综合评价好。毕业生在社会上的声誉好，对经济社会发展贡献大。在同类学校或同类专业中反响好，</w:t>
            </w:r>
            <w:r>
              <w:rPr>
                <w:rFonts w:hint="eastAsia" w:ascii="仿宋_GB2312" w:eastAsia="仿宋_GB2312"/>
                <w:bCs/>
                <w:sz w:val="24"/>
                <w:szCs w:val="24"/>
              </w:rPr>
              <w:t>专业建设成果示范辐射作用成效显著，在国内有较大影响。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b/>
          <w:sz w:val="30"/>
          <w:szCs w:val="30"/>
        </w:rPr>
        <w:t>广东省教学团队验收标准（试行）</w:t>
      </w:r>
    </w:p>
    <w:tbl>
      <w:tblPr>
        <w:tblStyle w:val="6"/>
        <w:tblW w:w="14664" w:type="dxa"/>
        <w:jc w:val="center"/>
        <w:tblInd w:w="-3125" w:type="dxa"/>
        <w:tblLayout w:type="fixed"/>
        <w:tblCellMar>
          <w:top w:w="0" w:type="dxa"/>
          <w:left w:w="0" w:type="dxa"/>
          <w:bottom w:w="0" w:type="dxa"/>
          <w:right w:w="0" w:type="dxa"/>
        </w:tblCellMar>
      </w:tblPr>
      <w:tblGrid>
        <w:gridCol w:w="2422"/>
        <w:gridCol w:w="2129"/>
        <w:gridCol w:w="10113"/>
      </w:tblGrid>
      <w:tr>
        <w:tblPrEx>
          <w:tblLayout w:type="fixed"/>
          <w:tblCellMar>
            <w:top w:w="0" w:type="dxa"/>
            <w:left w:w="0" w:type="dxa"/>
            <w:bottom w:w="0" w:type="dxa"/>
            <w:right w:w="0" w:type="dxa"/>
          </w:tblCellMar>
        </w:tblPrEx>
        <w:trPr>
          <w:cantSplit/>
          <w:trHeight w:val="426" w:hRule="atLeast"/>
          <w:jc w:val="center"/>
        </w:trPr>
        <w:tc>
          <w:tcPr>
            <w:tcW w:w="2422" w:type="dxa"/>
            <w:tcBorders>
              <w:top w:val="single" w:color="auto" w:sz="12" w:space="0"/>
              <w:left w:val="single" w:color="auto" w:sz="12"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一级指标</w:t>
            </w:r>
          </w:p>
        </w:tc>
        <w:tc>
          <w:tcPr>
            <w:tcW w:w="2129" w:type="dxa"/>
            <w:tcBorders>
              <w:top w:val="single" w:color="auto" w:sz="12" w:space="0"/>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二级指标</w:t>
            </w:r>
          </w:p>
        </w:tc>
        <w:tc>
          <w:tcPr>
            <w:tcW w:w="10113" w:type="dxa"/>
            <w:tcBorders>
              <w:top w:val="single" w:color="auto" w:sz="12" w:space="0"/>
              <w:left w:val="nil"/>
              <w:bottom w:val="single" w:color="auto" w:sz="8" w:space="0"/>
              <w:right w:val="single" w:color="auto" w:sz="12"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评　审　标　准</w:t>
            </w:r>
          </w:p>
        </w:tc>
      </w:tr>
      <w:tr>
        <w:tblPrEx>
          <w:tblLayout w:type="fixed"/>
          <w:tblCellMar>
            <w:top w:w="0" w:type="dxa"/>
            <w:left w:w="0" w:type="dxa"/>
            <w:bottom w:w="0" w:type="dxa"/>
            <w:right w:w="0" w:type="dxa"/>
          </w:tblCellMar>
        </w:tblPrEx>
        <w:trPr>
          <w:cantSplit/>
          <w:trHeight w:val="1432"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numPr>
                <w:ilvl w:val="0"/>
                <w:numId w:val="1"/>
              </w:numPr>
              <w:rPr>
                <w:rFonts w:ascii="仿宋_GB2312" w:eastAsia="仿宋_GB2312"/>
                <w:sz w:val="24"/>
                <w:szCs w:val="24"/>
              </w:rPr>
            </w:pPr>
            <w:r>
              <w:rPr>
                <w:rFonts w:hint="eastAsia" w:ascii="仿宋_GB2312" w:eastAsia="仿宋_GB2312"/>
                <w:bCs/>
                <w:sz w:val="24"/>
                <w:szCs w:val="24"/>
              </w:rPr>
              <w:t>团队建设（25分</w:t>
            </w:r>
            <w:r>
              <w:rPr>
                <w:rFonts w:hint="eastAsia" w:ascii="仿宋_GB2312" w:eastAsia="仿宋_GB2312"/>
                <w:sz w:val="24"/>
                <w:szCs w:val="24"/>
              </w:rPr>
              <w:t>）</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团队建设基础</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tblPrEx>
          <w:tblLayout w:type="fixed"/>
          <w:tblCellMar>
            <w:top w:w="0" w:type="dxa"/>
            <w:left w:w="0" w:type="dxa"/>
            <w:bottom w:w="0" w:type="dxa"/>
            <w:right w:w="0" w:type="dxa"/>
          </w:tblCellMar>
        </w:tblPrEx>
        <w:trPr>
          <w:cantSplit/>
          <w:trHeight w:val="1223"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团队结构</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tblPrEx>
          <w:tblLayout w:type="fixed"/>
          <w:tblCellMar>
            <w:top w:w="0" w:type="dxa"/>
            <w:left w:w="0" w:type="dxa"/>
            <w:bottom w:w="0" w:type="dxa"/>
            <w:right w:w="0" w:type="dxa"/>
          </w:tblCellMar>
        </w:tblPrEx>
        <w:trPr>
          <w:cantSplit/>
          <w:trHeight w:val="1195"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 </w:t>
            </w:r>
          </w:p>
          <w:p>
            <w:pPr>
              <w:rPr>
                <w:rFonts w:ascii="仿宋_GB2312" w:eastAsia="仿宋_GB2312"/>
                <w:sz w:val="24"/>
                <w:szCs w:val="24"/>
              </w:rPr>
            </w:pPr>
            <w:r>
              <w:rPr>
                <w:rFonts w:hint="eastAsia" w:ascii="仿宋_GB2312" w:eastAsia="仿宋_GB2312"/>
                <w:bCs/>
                <w:sz w:val="24"/>
                <w:szCs w:val="24"/>
              </w:rPr>
              <w:t>⒉团队带头人（15分）</w:t>
            </w:r>
          </w:p>
          <w:p>
            <w:pPr>
              <w:rPr>
                <w:rFonts w:ascii="仿宋_GB2312" w:eastAsia="仿宋_GB2312"/>
                <w:sz w:val="24"/>
                <w:szCs w:val="24"/>
              </w:rPr>
            </w:pPr>
            <w:r>
              <w:rPr>
                <w:rFonts w:hint="eastAsia" w:ascii="仿宋_GB2312" w:eastAsia="仿宋_GB2312"/>
                <w:sz w:val="24"/>
                <w:szCs w:val="24"/>
              </w:rPr>
              <w:t> </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学术地位</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应为本学科(专业)领域的专家，教授职称，具有较强的指导研究生和青年教师的能力；近五年主持省部级以上科研项目多，具有较高的学术水平，形成独有建树的学术思想，为本学科发展做出较突出的贡献。</w:t>
            </w:r>
          </w:p>
        </w:tc>
      </w:tr>
      <w:tr>
        <w:tblPrEx>
          <w:tblLayout w:type="fixed"/>
          <w:tblCellMar>
            <w:top w:w="0" w:type="dxa"/>
            <w:left w:w="0" w:type="dxa"/>
            <w:bottom w:w="0" w:type="dxa"/>
            <w:right w:w="0" w:type="dxa"/>
          </w:tblCellMar>
        </w:tblPrEx>
        <w:trPr>
          <w:cantSplit/>
          <w:trHeight w:val="1197"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学术成果</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p>
        </w:tc>
      </w:tr>
      <w:tr>
        <w:tblPrEx>
          <w:tblLayout w:type="fixed"/>
          <w:tblCellMar>
            <w:top w:w="0" w:type="dxa"/>
            <w:left w:w="0" w:type="dxa"/>
            <w:bottom w:w="0" w:type="dxa"/>
            <w:right w:w="0" w:type="dxa"/>
          </w:tblCellMar>
        </w:tblPrEx>
        <w:trPr>
          <w:cantSplit/>
          <w:trHeight w:val="1199" w:hRule="atLeast"/>
          <w:jc w:val="center"/>
        </w:trPr>
        <w:tc>
          <w:tcPr>
            <w:tcW w:w="2422" w:type="dxa"/>
            <w:vMerge w:val="continue"/>
            <w:tcBorders>
              <w:top w:val="nil"/>
              <w:left w:val="single" w:color="auto" w:sz="12" w:space="0"/>
              <w:bottom w:val="single" w:color="auto" w:sz="4"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课程建设与授课</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p>
        </w:tc>
      </w:tr>
      <w:tr>
        <w:tblPrEx>
          <w:tblLayout w:type="fixed"/>
          <w:tblCellMar>
            <w:top w:w="0" w:type="dxa"/>
            <w:left w:w="0" w:type="dxa"/>
            <w:bottom w:w="0" w:type="dxa"/>
            <w:right w:w="0" w:type="dxa"/>
          </w:tblCellMar>
        </w:tblPrEx>
        <w:trPr>
          <w:cantSplit/>
          <w:trHeight w:val="1116" w:hRule="atLeast"/>
          <w:jc w:val="center"/>
        </w:trPr>
        <w:tc>
          <w:tcPr>
            <w:tcW w:w="242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3．团队教学工作（30分）</w:t>
            </w:r>
          </w:p>
        </w:tc>
        <w:tc>
          <w:tcPr>
            <w:tcW w:w="212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教学资源建设</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课程体系科学、完整；专业课程的教学内容能够反映行业现状、追踪学科（专业）前沿。出台教材编写规划和鼓励教材研究的政策、措施；近五年承担过国家级规划教材主编任务，教材出版层次高。自编教材特色鲜明，使用效果好。</w:t>
            </w:r>
          </w:p>
        </w:tc>
      </w:tr>
      <w:tr>
        <w:tblPrEx>
          <w:tblLayout w:type="fixed"/>
          <w:tblCellMar>
            <w:top w:w="0" w:type="dxa"/>
            <w:left w:w="0" w:type="dxa"/>
            <w:bottom w:w="0" w:type="dxa"/>
            <w:right w:w="0" w:type="dxa"/>
          </w:tblCellMar>
        </w:tblPrEx>
        <w:trPr>
          <w:cantSplit/>
          <w:trHeight w:val="1424" w:hRule="atLeast"/>
          <w:jc w:val="center"/>
        </w:trPr>
        <w:tc>
          <w:tcPr>
            <w:tcW w:w="2422" w:type="dxa"/>
            <w:vMerge w:val="continue"/>
            <w:tcBorders>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教学成果</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团队公开发表的教学改革论文（著）数量多、质量高，教学改革论文反映出最新的教学研究成果，创新性强。</w:t>
            </w:r>
          </w:p>
        </w:tc>
      </w:tr>
      <w:tr>
        <w:tblPrEx>
          <w:tblLayout w:type="fixed"/>
          <w:tblCellMar>
            <w:top w:w="0" w:type="dxa"/>
            <w:left w:w="0" w:type="dxa"/>
            <w:bottom w:w="0" w:type="dxa"/>
            <w:right w:w="0" w:type="dxa"/>
          </w:tblCellMar>
        </w:tblPrEx>
        <w:trPr>
          <w:cantSplit/>
          <w:trHeight w:val="1055" w:hRule="atLeast"/>
          <w:jc w:val="center"/>
        </w:trPr>
        <w:tc>
          <w:tcPr>
            <w:tcW w:w="2422"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教学改革</w:t>
            </w:r>
          </w:p>
        </w:tc>
        <w:tc>
          <w:tcPr>
            <w:tcW w:w="10113" w:type="dxa"/>
            <w:tcBorders>
              <w:top w:val="single" w:color="auto" w:sz="4" w:space="0"/>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tblPrEx>
          <w:tblLayout w:type="fixed"/>
          <w:tblCellMar>
            <w:top w:w="0" w:type="dxa"/>
            <w:left w:w="0" w:type="dxa"/>
            <w:bottom w:w="0" w:type="dxa"/>
            <w:right w:w="0" w:type="dxa"/>
          </w:tblCellMar>
        </w:tblPrEx>
        <w:trPr>
          <w:cantSplit/>
          <w:trHeight w:val="1499" w:hRule="atLeast"/>
          <w:jc w:val="center"/>
        </w:trPr>
        <w:tc>
          <w:tcPr>
            <w:tcW w:w="242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4．团队梯队培养与发展规划（20分）</w:t>
            </w: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培养中青年教师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tblPrEx>
          <w:tblLayout w:type="fixed"/>
          <w:tblCellMar>
            <w:top w:w="0" w:type="dxa"/>
            <w:left w:w="0" w:type="dxa"/>
            <w:bottom w:w="0" w:type="dxa"/>
            <w:right w:w="0" w:type="dxa"/>
          </w:tblCellMar>
        </w:tblPrEx>
        <w:trPr>
          <w:cantSplit/>
          <w:trHeight w:val="903"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带动作用</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团队建设目标明确、具体，符合学校发展定位，为学校培养新的省级团队做出探索和贡献，对其他团队建设，具有辐射带动作用。</w:t>
            </w:r>
          </w:p>
        </w:tc>
      </w:tr>
      <w:tr>
        <w:tblPrEx>
          <w:tblLayout w:type="fixed"/>
          <w:tblCellMar>
            <w:top w:w="0" w:type="dxa"/>
            <w:left w:w="0" w:type="dxa"/>
            <w:bottom w:w="0" w:type="dxa"/>
            <w:right w:w="0" w:type="dxa"/>
          </w:tblCellMar>
        </w:tblPrEx>
        <w:trPr>
          <w:cantSplit/>
          <w:trHeight w:val="739" w:hRule="atLeast"/>
          <w:jc w:val="center"/>
        </w:trPr>
        <w:tc>
          <w:tcPr>
            <w:tcW w:w="2422" w:type="dxa"/>
            <w:vMerge w:val="restart"/>
            <w:tcBorders>
              <w:top w:val="single" w:color="auto" w:sz="4" w:space="0"/>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5．团队科研与教研（10分）</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科研情况</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团队承担的科研项目多、经费多、项目来源级别高；科技成果转化取得显著的社会效益和经济效益；在国内外学术刊物上发表的科研论文数量多，水平高。</w:t>
            </w:r>
          </w:p>
        </w:tc>
      </w:tr>
      <w:tr>
        <w:tblPrEx>
          <w:tblLayout w:type="fixed"/>
          <w:tblCellMar>
            <w:top w:w="0" w:type="dxa"/>
            <w:left w:w="0" w:type="dxa"/>
            <w:bottom w:w="0" w:type="dxa"/>
            <w:right w:w="0" w:type="dxa"/>
          </w:tblCellMar>
        </w:tblPrEx>
        <w:trPr>
          <w:cantSplit/>
          <w:trHeight w:val="1050"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科研与教学的结合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形成了科研促进教学的有效机制，包括组织机构与人员等，为科研转化教学提供了制度保障；科研成果在教学活动中得到应用，科研促进教学作用明显，人才培养效果好。</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广东省大学生校外实践教学基地验收评审指标体系（试行）</w:t>
      </w:r>
    </w:p>
    <w:tbl>
      <w:tblPr>
        <w:tblStyle w:val="6"/>
        <w:tblW w:w="15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2708"/>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39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一级指标</w:t>
            </w:r>
          </w:p>
        </w:tc>
        <w:tc>
          <w:tcPr>
            <w:tcW w:w="2708"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二级指标</w:t>
            </w:r>
          </w:p>
        </w:tc>
        <w:tc>
          <w:tcPr>
            <w:tcW w:w="1001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399" w:type="dxa"/>
            <w:vMerge w:val="continue"/>
            <w:vAlign w:val="center"/>
          </w:tcPr>
          <w:p>
            <w:pPr>
              <w:widowControl/>
              <w:spacing w:line="360" w:lineRule="exact"/>
              <w:jc w:val="center"/>
              <w:rPr>
                <w:rFonts w:ascii="仿宋_GB2312" w:eastAsia="仿宋_GB2312"/>
                <w:b/>
                <w:sz w:val="24"/>
                <w:szCs w:val="24"/>
              </w:rPr>
            </w:pPr>
          </w:p>
        </w:tc>
        <w:tc>
          <w:tcPr>
            <w:tcW w:w="2708" w:type="dxa"/>
            <w:vMerge w:val="continue"/>
            <w:vAlign w:val="center"/>
          </w:tcPr>
          <w:p>
            <w:pPr>
              <w:widowControl/>
              <w:spacing w:line="360" w:lineRule="exact"/>
              <w:jc w:val="left"/>
              <w:rPr>
                <w:rFonts w:ascii="仿宋_GB2312" w:eastAsia="仿宋_GB2312"/>
                <w:b/>
                <w:sz w:val="24"/>
                <w:szCs w:val="24"/>
              </w:rPr>
            </w:pPr>
          </w:p>
        </w:tc>
        <w:tc>
          <w:tcPr>
            <w:tcW w:w="10019" w:type="dxa"/>
            <w:vMerge w:val="continue"/>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99" w:type="dxa"/>
            <w:vMerge w:val="continue"/>
            <w:tcBorders>
              <w:bottom w:val="single" w:color="auto" w:sz="4" w:space="0"/>
            </w:tcBorders>
            <w:vAlign w:val="center"/>
          </w:tcPr>
          <w:p>
            <w:pPr>
              <w:widowControl/>
              <w:spacing w:line="360" w:lineRule="exact"/>
              <w:jc w:val="center"/>
              <w:rPr>
                <w:rFonts w:ascii="仿宋_GB2312" w:eastAsia="仿宋_GB2312"/>
                <w:b/>
                <w:sz w:val="24"/>
                <w:szCs w:val="24"/>
              </w:rPr>
            </w:pPr>
          </w:p>
        </w:tc>
        <w:tc>
          <w:tcPr>
            <w:tcW w:w="2708"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c>
          <w:tcPr>
            <w:tcW w:w="10019"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建设基本情况</w:t>
            </w:r>
          </w:p>
          <w:p>
            <w:pPr>
              <w:spacing w:line="360" w:lineRule="exact"/>
              <w:jc w:val="center"/>
              <w:rPr>
                <w:rFonts w:ascii="仿宋_GB2312" w:eastAsia="仿宋_GB2312"/>
                <w:sz w:val="24"/>
                <w:szCs w:val="24"/>
              </w:rPr>
            </w:pPr>
            <w:r>
              <w:rPr>
                <w:rFonts w:hint="eastAsia" w:ascii="仿宋_GB2312" w:eastAsia="仿宋_GB2312"/>
                <w:sz w:val="24"/>
                <w:szCs w:val="24"/>
              </w:rPr>
              <w:t>（75分）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实践教学</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师资建设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双方建立稳定的合作关系，双方共同培养实践教师队伍，开展了师资互聘交流，有较多高水平学科专家、行业企业专家参与指导实践教学；实践教学队伍由高校专任教师和企业兼职教师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条件建设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管理制度</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建设成效</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校企深度融合，校外实践教学体系完备，共同开发的实践课程资源丰富，共同编写教材和并建立了实训项目库；依托实践基地，学生实践能力和创新能力显著提升，创新创业项目、专利发明、论文发表数量有所增加；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基地运行情况</w:t>
            </w:r>
          </w:p>
          <w:p>
            <w:pPr>
              <w:spacing w:line="360" w:lineRule="exact"/>
              <w:jc w:val="center"/>
              <w:rPr>
                <w:rFonts w:ascii="仿宋_GB2312" w:eastAsia="仿宋_GB2312"/>
                <w:sz w:val="24"/>
                <w:szCs w:val="24"/>
              </w:rPr>
            </w:pPr>
            <w:r>
              <w:rPr>
                <w:rFonts w:hint="eastAsia" w:ascii="仿宋_GB2312" w:eastAsia="仿宋_GB2312"/>
                <w:sz w:val="24"/>
                <w:szCs w:val="24"/>
              </w:rPr>
              <w:t>（20分）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满足学生实践需求</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场地、设备、实践条件等满足本校相关专业学生实践需求。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基地开放共享</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基地面向其他高校开放，与其他学校、单位建立开放共享机制。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经费使用情况</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基地运行经费充足，能够满足实践教学运转需要且运行经费投入制度化，经费保障制度完备；合作单位对基地的建设运营投入经费，支持基地发展。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399" w:type="dxa"/>
            <w:vAlign w:val="center"/>
          </w:tcPr>
          <w:p>
            <w:pPr>
              <w:spacing w:line="360" w:lineRule="exact"/>
              <w:jc w:val="center"/>
              <w:rPr>
                <w:rFonts w:ascii="仿宋_GB2312" w:eastAsia="仿宋_GB2312"/>
                <w:sz w:val="24"/>
                <w:szCs w:val="24"/>
              </w:rPr>
            </w:pPr>
            <w:r>
              <w:rPr>
                <w:rFonts w:hint="eastAsia" w:ascii="仿宋_GB2312" w:eastAsia="仿宋_GB2312"/>
                <w:sz w:val="24"/>
                <w:szCs w:val="24"/>
              </w:rPr>
              <w:t>特色与创新</w:t>
            </w:r>
          </w:p>
          <w:p>
            <w:pPr>
              <w:spacing w:line="360" w:lineRule="exact"/>
              <w:jc w:val="center"/>
              <w:rPr>
                <w:rFonts w:ascii="仿宋_GB2312" w:eastAsia="仿宋_GB2312"/>
                <w:sz w:val="24"/>
                <w:szCs w:val="24"/>
              </w:rPr>
            </w:pPr>
            <w:r>
              <w:rPr>
                <w:rFonts w:hint="eastAsia" w:ascii="仿宋_GB2312" w:eastAsia="仿宋_GB2312"/>
                <w:sz w:val="24"/>
                <w:szCs w:val="24"/>
              </w:rPr>
              <w:t>（5分）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特色与创新</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基地建设富有自身特色，在实践教学、师资队伍、条件建设、管理模式、运作管理、能力培养等方面具有独特的、创新性的做法，且在全省乃至全国范围内具有推广应用价值。</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广东省省实验教学示范中心验收评审指标体系（试行）</w:t>
      </w:r>
    </w:p>
    <w:tbl>
      <w:tblPr>
        <w:tblStyle w:val="6"/>
        <w:tblW w:w="15251" w:type="dxa"/>
        <w:jc w:val="center"/>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9"/>
        <w:gridCol w:w="1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tblHeader/>
          <w:jc w:val="center"/>
        </w:trPr>
        <w:tc>
          <w:tcPr>
            <w:tcW w:w="1944"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09"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198"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blHeader/>
          <w:jc w:val="center"/>
        </w:trPr>
        <w:tc>
          <w:tcPr>
            <w:tcW w:w="1944" w:type="dxa"/>
            <w:vMerge w:val="continue"/>
            <w:vAlign w:val="center"/>
          </w:tcPr>
          <w:p>
            <w:pPr>
              <w:rPr>
                <w:rFonts w:ascii="仿宋_GB2312" w:eastAsia="仿宋_GB2312"/>
                <w:b/>
                <w:sz w:val="24"/>
                <w:szCs w:val="24"/>
              </w:rPr>
            </w:pPr>
          </w:p>
        </w:tc>
        <w:tc>
          <w:tcPr>
            <w:tcW w:w="2109" w:type="dxa"/>
            <w:vMerge w:val="continue"/>
            <w:vAlign w:val="center"/>
          </w:tcPr>
          <w:p>
            <w:pPr>
              <w:jc w:val="center"/>
              <w:rPr>
                <w:rFonts w:ascii="仿宋_GB2312" w:eastAsia="仿宋_GB2312"/>
                <w:b/>
                <w:sz w:val="24"/>
                <w:szCs w:val="24"/>
              </w:rPr>
            </w:pPr>
          </w:p>
        </w:tc>
        <w:tc>
          <w:tcPr>
            <w:tcW w:w="11198" w:type="dxa"/>
            <w:vMerge w:val="continue"/>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实验教学（30分）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教学体系</w:t>
            </w:r>
          </w:p>
        </w:tc>
        <w:tc>
          <w:tcPr>
            <w:tcW w:w="11198" w:type="dxa"/>
            <w:vAlign w:val="center"/>
          </w:tcPr>
          <w:p>
            <w:pPr>
              <w:rPr>
                <w:rFonts w:ascii="仿宋_GB2312" w:eastAsia="仿宋_GB2312"/>
                <w:sz w:val="24"/>
                <w:szCs w:val="24"/>
              </w:rPr>
            </w:pPr>
            <w:r>
              <w:rPr>
                <w:rFonts w:hint="eastAsia" w:ascii="仿宋_GB2312" w:eastAsia="仿宋_GB2312"/>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教学方法</w:t>
            </w:r>
          </w:p>
        </w:tc>
        <w:tc>
          <w:tcPr>
            <w:tcW w:w="11198" w:type="dxa"/>
            <w:vAlign w:val="center"/>
          </w:tcPr>
          <w:p>
            <w:pPr>
              <w:rPr>
                <w:rFonts w:ascii="仿宋_GB2312" w:eastAsia="仿宋_GB2312"/>
                <w:sz w:val="24"/>
                <w:szCs w:val="24"/>
              </w:rPr>
            </w:pPr>
            <w:r>
              <w:rPr>
                <w:rFonts w:hint="eastAsia" w:ascii="仿宋_GB2312" w:eastAsia="仿宋_GB2312"/>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教学效果</w:t>
            </w:r>
          </w:p>
        </w:tc>
        <w:tc>
          <w:tcPr>
            <w:tcW w:w="11198" w:type="dxa"/>
            <w:vAlign w:val="center"/>
          </w:tcPr>
          <w:p>
            <w:pPr>
              <w:rPr>
                <w:rFonts w:ascii="仿宋_GB2312" w:eastAsia="仿宋_GB2312"/>
                <w:sz w:val="24"/>
                <w:szCs w:val="24"/>
              </w:rPr>
            </w:pPr>
            <w:r>
              <w:rPr>
                <w:rFonts w:hint="eastAsia" w:ascii="仿宋_GB2312" w:eastAsia="仿宋_GB2312"/>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教学队伍（20分）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制度建设</w:t>
            </w:r>
          </w:p>
        </w:tc>
        <w:tc>
          <w:tcPr>
            <w:tcW w:w="11198" w:type="dxa"/>
            <w:vAlign w:val="center"/>
          </w:tcPr>
          <w:p>
            <w:pPr>
              <w:rPr>
                <w:rFonts w:ascii="仿宋_GB2312" w:eastAsia="仿宋_GB2312"/>
                <w:sz w:val="24"/>
                <w:szCs w:val="24"/>
              </w:rPr>
            </w:pPr>
            <w:r>
              <w:rPr>
                <w:rFonts w:hint="eastAsia" w:ascii="仿宋_GB2312" w:eastAsia="仿宋_GB2312"/>
                <w:sz w:val="24"/>
                <w:szCs w:val="24"/>
              </w:rPr>
              <w:t>学校重视实验教学队伍建设，规划科学；政策措施得力，能引导和激励高水平教师积极投入实验教学；实验教学队伍培养培训制度健全落实，富有成效。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队伍状况</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设备与环境（30分）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信息平台</w:t>
            </w:r>
          </w:p>
        </w:tc>
        <w:tc>
          <w:tcPr>
            <w:tcW w:w="11198" w:type="dxa"/>
            <w:vAlign w:val="center"/>
          </w:tcPr>
          <w:p>
            <w:pPr>
              <w:rPr>
                <w:rFonts w:ascii="仿宋_GB2312" w:eastAsia="仿宋_GB2312"/>
                <w:sz w:val="24"/>
                <w:szCs w:val="24"/>
              </w:rPr>
            </w:pPr>
            <w:r>
              <w:rPr>
                <w:rFonts w:hint="eastAsia" w:ascii="仿宋_GB2312" w:eastAsia="仿宋_GB2312"/>
                <w:sz w:val="24"/>
                <w:szCs w:val="24"/>
              </w:rPr>
              <w:t>建成网络化实验教学和实验室管理信息平台；具有丰富的网络实验教学资源；实现网上辅助教学和网络化、智能化管理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实验教学开放运行，保障措施落实得力，中心运行良好；管理制度规范化、人性化，以学生为本；实验教学评价办法科学合理，鼓励教师积极投入和改革创新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1944" w:type="dxa"/>
            <w:vMerge w:val="continue"/>
            <w:tcBorders>
              <w:bottom w:val="single" w:color="000000" w:sz="4" w:space="0"/>
            </w:tcBorders>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场地和仪器设备</w:t>
            </w:r>
          </w:p>
        </w:tc>
        <w:tc>
          <w:tcPr>
            <w:tcW w:w="11198" w:type="dxa"/>
            <w:vAlign w:val="center"/>
          </w:tcPr>
          <w:p>
            <w:pPr>
              <w:rPr>
                <w:rFonts w:ascii="仿宋_GB2312" w:eastAsia="仿宋_GB2312"/>
                <w:sz w:val="24"/>
                <w:szCs w:val="24"/>
              </w:rPr>
            </w:pPr>
            <w:r>
              <w:rPr>
                <w:rFonts w:hint="eastAsia" w:ascii="仿宋_GB2312" w:eastAsia="仿宋_GB2312"/>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944" w:type="dxa"/>
            <w:tcBorders>
              <w:top w:val="single" w:color="000000" w:sz="4" w:space="0"/>
              <w:bottom w:val="single" w:color="000000" w:sz="4" w:space="0"/>
            </w:tcBorders>
            <w:vAlign w:val="center"/>
          </w:tcPr>
          <w:p>
            <w:pPr>
              <w:rPr>
                <w:rFonts w:ascii="仿宋_GB2312" w:eastAsia="仿宋_GB2312"/>
                <w:sz w:val="24"/>
                <w:szCs w:val="24"/>
              </w:rPr>
            </w:pPr>
            <w:r>
              <w:rPr>
                <w:rFonts w:hint="eastAsia" w:ascii="仿宋_GB2312" w:eastAsia="仿宋_GB2312"/>
                <w:sz w:val="24"/>
                <w:szCs w:val="24"/>
              </w:rPr>
              <w:t>经费投入情况（10分）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实验教学运行经费投入制度化；仪器设备维护经费足额到位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944" w:type="dxa"/>
            <w:tcBorders>
              <w:top w:val="single" w:color="000000"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基本情况（10分）</w:t>
            </w:r>
          </w:p>
        </w:tc>
        <w:tc>
          <w:tcPr>
            <w:tcW w:w="21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19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主要建设任务已基本完成；建设成果达到申报预期</w:t>
            </w:r>
          </w:p>
        </w:tc>
      </w:tr>
    </w:tbl>
    <w:p>
      <w:pPr>
        <w:jc w:val="center"/>
        <w:rPr>
          <w:rFonts w:ascii="仿宋_GB2312" w:eastAsia="仿宋_GB2312"/>
          <w:b/>
          <w:sz w:val="30"/>
          <w:szCs w:val="30"/>
        </w:rPr>
      </w:pPr>
      <w:r>
        <w:rPr>
          <w:rFonts w:hint="eastAsia" w:ascii="仿宋_GB2312" w:eastAsia="仿宋_GB2312"/>
          <w:b/>
          <w:sz w:val="30"/>
          <w:szCs w:val="30"/>
        </w:rPr>
        <w:t>广东省大学生应用型人才培养示范基地验收评审指标体系（试行）</w:t>
      </w:r>
    </w:p>
    <w:tbl>
      <w:tblPr>
        <w:tblStyle w:val="6"/>
        <w:tblW w:w="15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981"/>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956"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1981"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71"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56" w:type="dxa"/>
            <w:vMerge w:val="continue"/>
            <w:vAlign w:val="center"/>
          </w:tcPr>
          <w:p>
            <w:pPr>
              <w:rPr>
                <w:rFonts w:ascii="仿宋_GB2312" w:eastAsia="仿宋_GB2312"/>
                <w:sz w:val="24"/>
                <w:szCs w:val="24"/>
              </w:rPr>
            </w:pPr>
          </w:p>
        </w:tc>
        <w:tc>
          <w:tcPr>
            <w:tcW w:w="1981" w:type="dxa"/>
            <w:vMerge w:val="continue"/>
            <w:vAlign w:val="center"/>
          </w:tcPr>
          <w:p>
            <w:pPr>
              <w:jc w:val="center"/>
              <w:rPr>
                <w:rFonts w:ascii="仿宋_GB2312" w:eastAsia="仿宋_GB2312"/>
                <w:sz w:val="24"/>
                <w:szCs w:val="24"/>
              </w:rPr>
            </w:pPr>
          </w:p>
        </w:tc>
        <w:tc>
          <w:tcPr>
            <w:tcW w:w="11371" w:type="dxa"/>
            <w:vMerge w:val="continue"/>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vMerge w:val="continue"/>
            <w:tcBorders>
              <w:bottom w:val="single" w:color="auto" w:sz="4" w:space="0"/>
            </w:tcBorders>
            <w:vAlign w:val="center"/>
          </w:tcPr>
          <w:p>
            <w:pPr>
              <w:jc w:val="center"/>
              <w:rPr>
                <w:rFonts w:ascii="仿宋_GB2312" w:eastAsia="仿宋_GB2312"/>
                <w:sz w:val="24"/>
                <w:szCs w:val="24"/>
              </w:rPr>
            </w:pPr>
          </w:p>
        </w:tc>
        <w:tc>
          <w:tcPr>
            <w:tcW w:w="11371" w:type="dxa"/>
            <w:vMerge w:val="continue"/>
            <w:tcBorders>
              <w:bottom w:val="single" w:color="auto" w:sz="4" w:space="0"/>
            </w:tcBorders>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基地管理（15分）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基地定位</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基地定位明确，能够坚持服务地方宗旨，主动适应区域产业经济发展需求，突出应用性培养的特色，注重基地内涵建设。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教学运行、学生管理、安全保障、资金使用等制度规范化、人性化，以学生为本，激励约束机制健全；建立健全协同育人机制，促进校企协同创新。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基地建设（30分）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资金运行</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基地运行经费充足，能够满足基地运转需要且运行经费投入制度化，经费保障制度完备；作单位对基地的建设运营投入经费，支持基地发展。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条件建设</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的面积、空间、结构布局科学合理，安全、环保符合国家标准，软硬件设施满足教学需要；基地建设双方合作关系稳定，有制度保障；师资队伍满足教学需求，制定基地师资队伍建设计划，有较多企业人才参与基地教学，专兼师资队伍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基地效益（40分）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实践教学</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实践教学体系完备、层次分明；企业深度参与基地教学和人才培养全过程；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培养质量</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依托基地，学生实践能力和创新能力显著提升，创新创业项目、专利发明、论文发表数量有所增加；依托基地，学生就业率有所提高，用人单位满意度提高；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3937" w:type="dxa"/>
            <w:gridSpan w:val="2"/>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特色或创新（15分）</w:t>
            </w:r>
          </w:p>
        </w:tc>
        <w:tc>
          <w:tcPr>
            <w:tcW w:w="11371" w:type="dxa"/>
            <w:vAlign w:val="center"/>
          </w:tcPr>
          <w:p>
            <w:pPr>
              <w:jc w:val="left"/>
              <w:rPr>
                <w:rFonts w:ascii="仿宋_GB2312" w:eastAsia="仿宋_GB2312"/>
                <w:sz w:val="24"/>
                <w:szCs w:val="24"/>
              </w:rPr>
            </w:pPr>
            <w:r>
              <w:rPr>
                <w:rFonts w:hint="eastAsia" w:ascii="仿宋_GB2312" w:eastAsia="仿宋_GB2312"/>
                <w:sz w:val="24"/>
                <w:szCs w:val="24"/>
              </w:rPr>
              <w:t>基地建设富有自身特色，在实践教学、师资队伍、条件建设、管理模式、运作管理、能力培养等方面具有独特的、创新性的做法，部分经验做法在全省乃至全国范围内具有推广应用价值</w:t>
            </w:r>
          </w:p>
        </w:tc>
      </w:tr>
    </w:tbl>
    <w:p>
      <w:pPr>
        <w:jc w:val="center"/>
        <w:rPr>
          <w:rFonts w:ascii="仿宋_GB2312" w:eastAsia="仿宋_GB2312"/>
          <w:b/>
          <w:sz w:val="30"/>
          <w:szCs w:val="30"/>
        </w:rPr>
      </w:pPr>
      <w:r>
        <w:rPr>
          <w:rFonts w:hint="eastAsia" w:ascii="仿宋_GB2312" w:eastAsia="仿宋_GB2312"/>
          <w:b/>
          <w:sz w:val="30"/>
          <w:szCs w:val="30"/>
        </w:rPr>
        <w:t>广东省普通高等学校应用型人才培养示范专业/战略新兴产业特色专业评审指标（试行）</w:t>
      </w:r>
    </w:p>
    <w:tbl>
      <w:tblPr>
        <w:tblStyle w:val="6"/>
        <w:tblW w:w="14852" w:type="dxa"/>
        <w:jc w:val="center"/>
        <w:tblInd w:w="-1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134"/>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79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13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9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7"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建设目标与保障（10分）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919" w:type="dxa"/>
            <w:vAlign w:val="center"/>
          </w:tcPr>
          <w:p>
            <w:pPr>
              <w:rPr>
                <w:rFonts w:ascii="仿宋_GB2312" w:eastAsia="仿宋_GB2312"/>
                <w:sz w:val="24"/>
                <w:szCs w:val="24"/>
              </w:rPr>
            </w:pPr>
            <w:r>
              <w:rPr>
                <w:rFonts w:hint="eastAsia" w:ascii="仿宋_GB2312" w:eastAsia="仿宋_GB2312"/>
                <w:sz w:val="24"/>
                <w:szCs w:val="24"/>
              </w:rPr>
              <w:t>明确对接区域和产业链的应用型专业定位，确立为产业发展提供人才的专业建设目标。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建设措施</w:t>
            </w:r>
          </w:p>
        </w:tc>
        <w:tc>
          <w:tcPr>
            <w:tcW w:w="9919" w:type="dxa"/>
            <w:vAlign w:val="center"/>
          </w:tcPr>
          <w:p>
            <w:pPr>
              <w:rPr>
                <w:rFonts w:ascii="仿宋_GB2312" w:eastAsia="仿宋_GB2312"/>
                <w:sz w:val="24"/>
                <w:szCs w:val="24"/>
              </w:rPr>
            </w:pPr>
            <w:r>
              <w:rPr>
                <w:rFonts w:hint="eastAsia" w:ascii="仿宋_GB2312" w:eastAsia="仿宋_GB2312"/>
                <w:sz w:val="24"/>
                <w:szCs w:val="24"/>
              </w:rPr>
              <w:t>专业发展规划科学合理, 与产业发展结合紧密，专业分期建设目标明确，建设措施得力，具有一定的学科优势和特色。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1"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师资队伍（20分）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师资力量</w:t>
            </w:r>
          </w:p>
        </w:tc>
        <w:tc>
          <w:tcPr>
            <w:tcW w:w="9919" w:type="dxa"/>
            <w:vAlign w:val="center"/>
          </w:tcPr>
          <w:p>
            <w:pPr>
              <w:rPr>
                <w:rFonts w:ascii="仿宋_GB2312" w:eastAsia="仿宋_GB2312"/>
                <w:bCs/>
                <w:sz w:val="24"/>
                <w:szCs w:val="24"/>
              </w:rPr>
            </w:pPr>
            <w:r>
              <w:rPr>
                <w:rFonts w:hint="eastAsia" w:ascii="仿宋_GB2312" w:eastAsia="仿宋_GB2312"/>
                <w:sz w:val="24"/>
                <w:szCs w:val="24"/>
              </w:rPr>
              <w:t>队伍整体素质高，专业主干课程主要由教授、副教授讲授；建立制度激励教师投入教学，教师科研项目能够有效转化为教学内容，提升教学成效。队伍年龄结构、职称结构、学缘结构合理，专兼职教师比例合理，有高水平、相对稳定的学科专业带头人和教学团队并有效推动本专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0"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919" w:type="dxa"/>
            <w:vAlign w:val="center"/>
          </w:tcPr>
          <w:p>
            <w:pPr>
              <w:rPr>
                <w:rFonts w:ascii="仿宋_GB2312" w:eastAsia="仿宋_GB2312"/>
                <w:sz w:val="24"/>
                <w:szCs w:val="24"/>
              </w:rPr>
            </w:pPr>
            <w:r>
              <w:rPr>
                <w:rFonts w:hint="eastAsia" w:ascii="仿宋_GB2312" w:eastAsia="仿宋_GB2312"/>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教学条件（10分）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教学设施</w:t>
            </w:r>
          </w:p>
        </w:tc>
        <w:tc>
          <w:tcPr>
            <w:tcW w:w="9919" w:type="dxa"/>
            <w:vAlign w:val="center"/>
          </w:tcPr>
          <w:p>
            <w:pPr>
              <w:rPr>
                <w:rFonts w:ascii="仿宋_GB2312" w:eastAsia="仿宋_GB2312"/>
                <w:sz w:val="24"/>
                <w:szCs w:val="24"/>
              </w:rPr>
            </w:pPr>
            <w:r>
              <w:rPr>
                <w:rFonts w:hint="eastAsia" w:ascii="仿宋_GB2312" w:eastAsia="仿宋_GB2312"/>
                <w:sz w:val="24"/>
                <w:szCs w:val="24"/>
              </w:rPr>
              <w:t>教学基本设施（含实验室、实习实训基地、图书资料、校园网络建设等）能满足培养高素质应用型人才的需要；充分开发、利用多种教学资源（如网上资源、电子教材等）。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4"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919"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4"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建设成果（40分）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919" w:type="dxa"/>
            <w:vAlign w:val="center"/>
          </w:tcPr>
          <w:p>
            <w:pPr>
              <w:rPr>
                <w:rFonts w:ascii="仿宋_GB2312" w:eastAsia="仿宋_GB2312"/>
                <w:sz w:val="24"/>
                <w:szCs w:val="24"/>
              </w:rPr>
            </w:pPr>
            <w:r>
              <w:rPr>
                <w:rFonts w:hint="eastAsia" w:ascii="仿宋_GB2312" w:eastAsia="仿宋_GB2312"/>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6"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课程建设</w:t>
            </w:r>
          </w:p>
        </w:tc>
        <w:tc>
          <w:tcPr>
            <w:tcW w:w="9919" w:type="dxa"/>
            <w:vAlign w:val="center"/>
          </w:tcPr>
          <w:p>
            <w:pPr>
              <w:rPr>
                <w:rFonts w:ascii="仿宋_GB2312" w:eastAsia="仿宋_GB2312"/>
                <w:sz w:val="24"/>
                <w:szCs w:val="24"/>
              </w:rPr>
            </w:pPr>
            <w:r>
              <w:rPr>
                <w:rFonts w:hint="eastAsia" w:ascii="仿宋_GB2312" w:eastAsia="仿宋_GB2312"/>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校合作、校政行企合作联合开发在线开放课程；将创新创业教育融入人才培养全过程，健全课程体系，建立学分转换制，强化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9"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919"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实践教学体系建设（文科部分专业本条可适当放宽）</w:t>
            </w:r>
          </w:p>
        </w:tc>
        <w:tc>
          <w:tcPr>
            <w:tcW w:w="9919" w:type="dxa"/>
            <w:vAlign w:val="center"/>
          </w:tcPr>
          <w:p>
            <w:pPr>
              <w:rPr>
                <w:rFonts w:ascii="仿宋_GB2312" w:eastAsia="仿宋_GB2312"/>
                <w:sz w:val="24"/>
                <w:szCs w:val="24"/>
              </w:rPr>
            </w:pPr>
            <w:r>
              <w:rPr>
                <w:rFonts w:hint="eastAsia" w:ascii="仿宋_GB2312" w:eastAsia="仿宋_GB2312"/>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人才培养质量（20分）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成效示范</w:t>
            </w:r>
          </w:p>
        </w:tc>
        <w:tc>
          <w:tcPr>
            <w:tcW w:w="9919" w:type="dxa"/>
            <w:vAlign w:val="center"/>
          </w:tcPr>
          <w:p>
            <w:pPr>
              <w:rPr>
                <w:rFonts w:ascii="仿宋_GB2312" w:eastAsia="仿宋_GB2312"/>
                <w:sz w:val="24"/>
                <w:szCs w:val="24"/>
              </w:rPr>
            </w:pPr>
            <w:r>
              <w:rPr>
                <w:rFonts w:hint="eastAsia" w:ascii="仿宋_GB2312" w:eastAsia="仿宋_GB2312"/>
                <w:bCs/>
                <w:sz w:val="24"/>
                <w:szCs w:val="24"/>
              </w:rPr>
              <w:t>学生创新精神和实践能力强；</w:t>
            </w:r>
            <w:r>
              <w:rPr>
                <w:rFonts w:hint="eastAsia" w:ascii="仿宋_GB2312" w:eastAsia="仿宋_GB2312"/>
                <w:sz w:val="24"/>
                <w:szCs w:val="24"/>
              </w:rPr>
              <w:t>毕业生的综合素质高，用人单位评价高；</w:t>
            </w:r>
            <w:r>
              <w:rPr>
                <w:rFonts w:hint="eastAsia" w:ascii="仿宋_GB2312" w:eastAsia="仿宋_GB2312"/>
                <w:bCs/>
                <w:sz w:val="24"/>
                <w:szCs w:val="24"/>
              </w:rPr>
              <w:t>专业建设成果示范辐射作用成效显著，在省内乃至国内有较大影响。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3" w:hRule="atLeast"/>
          <w:jc w:val="center"/>
        </w:trPr>
        <w:tc>
          <w:tcPr>
            <w:tcW w:w="2799" w:type="dxa"/>
            <w:vMerge w:val="continue"/>
            <w:vAlign w:val="center"/>
          </w:tcPr>
          <w:p>
            <w:pP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919"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广东省本科高校卓越人才培养计划项目验收指标体系（试行）</w:t>
      </w:r>
    </w:p>
    <w:p>
      <w:pPr>
        <w:jc w:val="center"/>
        <w:rPr>
          <w:rFonts w:ascii="仿宋_GB2312" w:eastAsia="仿宋_GB2312"/>
          <w:b/>
          <w:sz w:val="30"/>
          <w:szCs w:val="30"/>
        </w:rPr>
      </w:pPr>
    </w:p>
    <w:tbl>
      <w:tblPr>
        <w:tblStyle w:val="6"/>
        <w:tblW w:w="14981" w:type="dxa"/>
        <w:jc w:val="center"/>
        <w:tblCellSpacing w:w="7" w:type="dxa"/>
        <w:tblInd w:w="-8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737"/>
        <w:gridCol w:w="12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312" w:hRule="atLeast"/>
          <w:tblCellSpacing w:w="7" w:type="dxa"/>
          <w:jc w:val="center"/>
        </w:trPr>
        <w:tc>
          <w:tcPr>
            <w:tcW w:w="2716"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223"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12" w:hRule="atLeast"/>
          <w:tblCellSpacing w:w="7" w:type="dxa"/>
          <w:jc w:val="center"/>
        </w:trPr>
        <w:tc>
          <w:tcPr>
            <w:tcW w:w="2716" w:type="dxa"/>
            <w:vMerge w:val="continue"/>
            <w:shd w:val="clear" w:color="auto" w:fill="FFFFFF"/>
            <w:vAlign w:val="center"/>
          </w:tcPr>
          <w:p>
            <w:pPr>
              <w:jc w:val="center"/>
              <w:rPr>
                <w:rFonts w:ascii="仿宋_GB2312" w:eastAsia="仿宋_GB2312"/>
                <w:b/>
                <w:sz w:val="24"/>
                <w:szCs w:val="24"/>
              </w:rPr>
            </w:pPr>
          </w:p>
        </w:tc>
        <w:tc>
          <w:tcPr>
            <w:tcW w:w="12223"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8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r>
              <w:rPr>
                <w:rFonts w:hint="eastAsia" w:ascii="仿宋_GB2312" w:eastAsia="仿宋_GB2312" w:hAnsiTheme="minorEastAsia"/>
                <w:sz w:val="24"/>
                <w:szCs w:val="24"/>
              </w:rPr>
              <w:t>；</w:t>
            </w:r>
            <w:r>
              <w:rPr>
                <w:rFonts w:hint="eastAsia" w:ascii="仿宋_GB2312" w:eastAsia="仿宋_GB2312"/>
                <w:sz w:val="24"/>
                <w:szCs w:val="24"/>
              </w:rPr>
              <w:t>卓越计划项目实施以来，有利推动专业教学改革，并形成了一系列建设成果和特色富有创新和示范效应，在同类院校或专业中具有推广和应用价值。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5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工作机制与保障（15分）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学校或学院有专门工作机构统筹推进卓越人才培养计划，协调解决重大改革事项</w:t>
            </w:r>
            <w:r>
              <w:rPr>
                <w:rFonts w:hint="eastAsia" w:ascii="仿宋_GB2312" w:eastAsia="仿宋_GB2312" w:hAnsiTheme="minorEastAsia"/>
                <w:sz w:val="24"/>
                <w:szCs w:val="24"/>
              </w:rPr>
              <w:t>；</w:t>
            </w:r>
            <w:r>
              <w:rPr>
                <w:rFonts w:hint="eastAsia" w:ascii="仿宋_GB2312" w:eastAsia="仿宋_GB2312"/>
                <w:sz w:val="24"/>
                <w:szCs w:val="24"/>
              </w:rPr>
              <w:t>在教育教学改革、师资配备、经费保障等方面学校有明确的鼓励和支持政策；</w:t>
            </w:r>
            <w:r>
              <w:rPr>
                <w:rFonts w:hint="eastAsia" w:ascii="仿宋_GB2312" w:eastAsia="仿宋_GB2312" w:hAnsiTheme="minorEastAsia"/>
                <w:sz w:val="24"/>
                <w:szCs w:val="24"/>
              </w:rPr>
              <w:t>企业和行业部门参与“卓越计划”的机制健全，</w:t>
            </w:r>
            <w:r>
              <w:rPr>
                <w:rFonts w:hint="eastAsia" w:ascii="仿宋_GB2312" w:eastAsia="仿宋_GB2312"/>
                <w:sz w:val="24"/>
                <w:szCs w:val="24"/>
              </w:rPr>
              <w:t>有相应的优惠激励政策和机制。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40"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人才培养（15分）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根据经济社会发展需要，结合学校的办学定位、办学特色，明确卓越人才培养目标，定位科学合理</w:t>
            </w:r>
            <w:r>
              <w:rPr>
                <w:rFonts w:hint="eastAsia" w:ascii="仿宋_GB2312" w:eastAsia="仿宋_GB2312" w:hAnsiTheme="minorEastAsia"/>
                <w:sz w:val="24"/>
                <w:szCs w:val="24"/>
              </w:rPr>
              <w:t>；</w:t>
            </w:r>
            <w:r>
              <w:rPr>
                <w:rFonts w:hint="eastAsia" w:ascii="仿宋_GB2312" w:eastAsia="仿宋_GB2312"/>
                <w:sz w:val="24"/>
                <w:szCs w:val="24"/>
              </w:rPr>
              <w:t>针对卓越人才培养目标，设计了较为完整、契合度高的人才培养方案，创新点突出，特色鲜明，有明确、可行性强的培养路径</w:t>
            </w:r>
            <w:r>
              <w:rPr>
                <w:rFonts w:hint="eastAsia" w:ascii="仿宋_GB2312" w:eastAsia="仿宋_GB2312" w:hAnsiTheme="minorEastAsia"/>
                <w:sz w:val="24"/>
                <w:szCs w:val="24"/>
              </w:rPr>
              <w:t>；创立高校与行业、企业联合培养人才新机制，共同实施培养过程；扩大对外开放，培养具备国际视野的卓越人才。</w:t>
            </w:r>
            <w:r>
              <w:rPr>
                <w:rFonts w:hint="eastAsia" w:ascii="仿宋_GB2312" w:eastAsia="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276"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教学改革（30分）</w:t>
            </w:r>
          </w:p>
        </w:tc>
        <w:tc>
          <w:tcPr>
            <w:tcW w:w="12223" w:type="dxa"/>
            <w:shd w:val="clear" w:color="auto" w:fill="FFFFFF"/>
            <w:vAlign w:val="center"/>
          </w:tcPr>
          <w:p>
            <w:pPr>
              <w:rPr>
                <w:rFonts w:ascii="仿宋_GB2312" w:eastAsia="仿宋_GB2312"/>
                <w:sz w:val="24"/>
                <w:szCs w:val="24"/>
              </w:rPr>
            </w:pPr>
            <w:r>
              <w:rPr>
                <w:rFonts w:hint="eastAsia" w:ascii="仿宋_GB2312" w:eastAsia="仿宋_GB2312"/>
                <w:sz w:val="24"/>
                <w:szCs w:val="24"/>
              </w:rPr>
              <w:t>对人才培养模式进行综合改革，强化专业集成；教育教学理念具有较强的创新性，形成了有特色的人才培养研究成果</w:t>
            </w:r>
            <w:r>
              <w:rPr>
                <w:rFonts w:hint="eastAsia" w:ascii="仿宋_GB2312" w:eastAsia="仿宋_GB2312" w:hAnsiTheme="minorEastAsia"/>
                <w:sz w:val="24"/>
                <w:szCs w:val="24"/>
              </w:rPr>
              <w:t>；</w:t>
            </w:r>
            <w:r>
              <w:rPr>
                <w:rFonts w:hint="eastAsia" w:ascii="仿宋_GB2312" w:eastAsia="仿宋_GB2312"/>
                <w:sz w:val="24"/>
                <w:szCs w:val="24"/>
              </w:rPr>
              <w:t>教学内容与课程体系改革紧密结合行业发展需求，符合卓越人才培养的要求，大力加强学生实践能力，创新精神和创业能力的培养</w:t>
            </w:r>
            <w:r>
              <w:rPr>
                <w:rFonts w:hint="eastAsia" w:ascii="仿宋_GB2312" w:eastAsia="仿宋_GB2312" w:hAnsiTheme="minorEastAsia"/>
                <w:sz w:val="24"/>
                <w:szCs w:val="24"/>
              </w:rPr>
              <w:t>；</w:t>
            </w:r>
            <w:r>
              <w:rPr>
                <w:rFonts w:hint="eastAsia" w:ascii="仿宋_GB2312" w:eastAsia="仿宋_GB2312"/>
                <w:sz w:val="24"/>
                <w:szCs w:val="24"/>
              </w:rPr>
              <w:t>开展互动式、研究型教学，注重学生学习能力和综合素质考核、实行多元考核方式，主动将科研成果带入专业教学</w:t>
            </w:r>
            <w:r>
              <w:rPr>
                <w:rFonts w:hint="eastAsia" w:ascii="仿宋_GB2312" w:eastAsia="仿宋_GB2312" w:hAnsiTheme="minorEastAsia"/>
                <w:sz w:val="24"/>
                <w:szCs w:val="24"/>
              </w:rPr>
              <w:t>；</w:t>
            </w:r>
            <w:r>
              <w:rPr>
                <w:rFonts w:hint="eastAsia" w:ascii="仿宋_GB2312" w:eastAsia="仿宋_GB2312"/>
                <w:sz w:val="24"/>
                <w:szCs w:val="24"/>
              </w:rPr>
              <w:t>积极开展实践教学，体系完善，依托专业建设有省级以上校内或校外实践教学基地。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73"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教师队伍建设（15分）</w:t>
            </w:r>
          </w:p>
        </w:tc>
        <w:tc>
          <w:tcPr>
            <w:tcW w:w="12223" w:type="dxa"/>
            <w:shd w:val="clear" w:color="auto" w:fill="auto"/>
            <w:vAlign w:val="center"/>
          </w:tcPr>
          <w:p>
            <w:pPr>
              <w:rPr>
                <w:rFonts w:ascii="仿宋_GB2312" w:eastAsia="仿宋_GB2312"/>
                <w:sz w:val="24"/>
                <w:szCs w:val="24"/>
              </w:rPr>
            </w:pPr>
            <w:r>
              <w:rPr>
                <w:rFonts w:hint="eastAsia" w:ascii="仿宋_GB2312" w:hAnsi="Verdana" w:eastAsia="仿宋_GB2312"/>
                <w:color w:val="000000"/>
                <w:sz w:val="24"/>
                <w:szCs w:val="24"/>
                <w:shd w:val="clear" w:color="auto" w:fill="FFFFFF"/>
              </w:rPr>
              <w:t>依据自身学科人才培养特点展开了相应的教师队伍建设，取得成效，初步形成一支具有较高理论水平和实践经验的师资队伍；</w:t>
            </w:r>
            <w:r>
              <w:rPr>
                <w:rFonts w:hint="eastAsia" w:ascii="仿宋_GB2312" w:eastAsia="仿宋_GB2312" w:hAnsiTheme="minorEastAsia"/>
                <w:color w:val="000000"/>
                <w:sz w:val="24"/>
                <w:szCs w:val="24"/>
                <w:shd w:val="clear" w:color="auto" w:fill="FFFFFF"/>
              </w:rPr>
              <w:t>具备一直有一定行业经历的高水平专、兼职教师队伍；</w:t>
            </w:r>
            <w:r>
              <w:rPr>
                <w:rFonts w:hint="eastAsia" w:ascii="仿宋_GB2312" w:eastAsia="仿宋_GB2312"/>
                <w:sz w:val="24"/>
                <w:szCs w:val="24"/>
              </w:rPr>
              <w:t>师资队伍学历、年龄、知识结构合理，师德高尚，业务素质精良，专职教师的主要精力投入教学工作。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210"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223" w:type="dxa"/>
            <w:shd w:val="clear" w:color="auto" w:fill="auto"/>
            <w:vAlign w:val="center"/>
          </w:tcPr>
          <w:p>
            <w:pPr>
              <w:rPr>
                <w:rFonts w:ascii="仿宋_GB2312" w:eastAsia="仿宋_GB2312"/>
                <w:sz w:val="24"/>
                <w:szCs w:val="24"/>
              </w:rPr>
            </w:pPr>
            <w:r>
              <w:rPr>
                <w:rFonts w:hint="eastAsia" w:ascii="仿宋_GB2312" w:eastAsia="仿宋_GB2312"/>
                <w:sz w:val="24"/>
                <w:szCs w:val="24"/>
              </w:rPr>
              <w:t>实施“卓越计划”以来，学生实践能力、创新能力和综合素质提升，发明专利和发表高水平论文或其他创新成果较多</w:t>
            </w:r>
            <w:r>
              <w:rPr>
                <w:rFonts w:hint="eastAsia" w:ascii="仿宋_GB2312" w:eastAsia="仿宋_GB2312" w:hAnsiTheme="minorEastAsia"/>
                <w:sz w:val="24"/>
                <w:szCs w:val="24"/>
              </w:rPr>
              <w:t>；</w:t>
            </w:r>
            <w:r>
              <w:rPr>
                <w:rFonts w:hint="eastAsia" w:ascii="仿宋_GB2312" w:eastAsia="仿宋_GB2312"/>
                <w:sz w:val="24"/>
                <w:szCs w:val="24"/>
              </w:rPr>
              <w:t>发现、分析和解决问题能力提高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jc w:val="center"/>
        <w:rPr>
          <w:rFonts w:ascii="仿宋_GB2312" w:hAnsi="黑体"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广东省本科高校试点学院验收指标体系（试行）</w:t>
      </w:r>
    </w:p>
    <w:tbl>
      <w:tblPr>
        <w:tblStyle w:val="6"/>
        <w:tblW w:w="15211" w:type="dxa"/>
        <w:jc w:val="center"/>
        <w:tblCellSpacing w:w="7" w:type="dxa"/>
        <w:tblInd w:w="-35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3041"/>
        <w:gridCol w:w="1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12" w:hRule="atLeast"/>
          <w:tblCellSpacing w:w="7" w:type="dxa"/>
          <w:jc w:val="center"/>
        </w:trPr>
        <w:tc>
          <w:tcPr>
            <w:tcW w:w="3020"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149"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312" w:hRule="atLeast"/>
          <w:tblCellSpacing w:w="7" w:type="dxa"/>
          <w:jc w:val="center"/>
        </w:trPr>
        <w:tc>
          <w:tcPr>
            <w:tcW w:w="3020" w:type="dxa"/>
            <w:vMerge w:val="continue"/>
            <w:shd w:val="clear" w:color="auto" w:fill="FFFFFF"/>
            <w:vAlign w:val="center"/>
          </w:tcPr>
          <w:p>
            <w:pPr>
              <w:jc w:val="center"/>
              <w:rPr>
                <w:rFonts w:ascii="仿宋_GB2312" w:eastAsia="仿宋_GB2312"/>
                <w:b/>
                <w:sz w:val="24"/>
                <w:szCs w:val="24"/>
              </w:rPr>
            </w:pPr>
          </w:p>
        </w:tc>
        <w:tc>
          <w:tcPr>
            <w:tcW w:w="12149"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学院基本条件建设（15分）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hAnsiTheme="minorEastAsia"/>
                <w:sz w:val="24"/>
                <w:szCs w:val="24"/>
              </w:rPr>
              <w:t>学院的仪器设备、教学场地和设施、实验条件、实践教学条件、教学投入，在试点学院项目立项后有较大改善。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管理体制（15分）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建立院长负责、全院参与的试点学院建设机制；落实教学和科研自主权；学校赋予的资源配置权限可以满足改革需要；学校的支持和保障政策有力。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41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招生改革（15分）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招生计划制定方面在校内拥有较大自主权限；生源招录方式多样；</w:t>
            </w:r>
            <w:r>
              <w:rPr>
                <w:rFonts w:hint="eastAsia" w:ascii="仿宋_GB2312" w:eastAsia="仿宋_GB2312"/>
                <w:sz w:val="24"/>
                <w:szCs w:val="24"/>
              </w:rPr>
              <w:t>学生转专业、转院机制灵活、有利于学生自我发展。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619"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教学改革（25分）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人才培养方案设计能够体现以学生为本，突出学生创新、实践和应用能力导向；教学内容在试点学院立项后进行改革，能够有效对接区域经济社会发展需求；</w:t>
            </w:r>
            <w:r>
              <w:rPr>
                <w:rFonts w:hint="eastAsia" w:ascii="仿宋_GB2312" w:eastAsia="仿宋_GB2312"/>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Pr>
                <w:rFonts w:hint="eastAsia" w:ascii="仿宋_GB2312" w:eastAsia="仿宋_GB2312" w:hAnsiTheme="minorEastAsia"/>
                <w:sz w:val="24"/>
                <w:szCs w:val="24"/>
              </w:rPr>
              <w:t>科研和教学能够形成有效结合，二者能够良性互动，院内有较多科研成果转化为教学内容；对学分制改革进行了积极探索和有益尝试，教学信息化水平较高。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师资管理（15分）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Pr>
                <w:rFonts w:hint="eastAsia" w:ascii="仿宋_GB2312" w:eastAsia="仿宋_GB2312" w:hAnsiTheme="minorEastAsia"/>
                <w:sz w:val="24"/>
                <w:szCs w:val="24"/>
              </w:rPr>
              <w:t>；</w:t>
            </w:r>
            <w:r>
              <w:rPr>
                <w:rFonts w:hint="eastAsia" w:ascii="仿宋_GB2312" w:eastAsia="仿宋_GB2312"/>
                <w:sz w:val="24"/>
                <w:szCs w:val="24"/>
              </w:rPr>
              <w:t>有专门制度保障和强化教学的中心地位，避免重科研轻教学倾向，高级职称教师为本科生授课比例高、课时多。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90" w:type="dxa"/>
            <w:left w:w="90" w:type="dxa"/>
            <w:bottom w:w="90" w:type="dxa"/>
            <w:right w:w="90" w:type="dxa"/>
          </w:tblCellMar>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试点学院项目建设以来，学生实践能力、创新能力和综合素质提升，发明专利和发表高水平论文或其他创新成果较多；发现、分析和解决问题能力，创新创业能力提高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rPr>
          <w:rFonts w:ascii="仿宋_GB2312" w:eastAsia="仿宋_GB2312"/>
          <w:sz w:val="24"/>
          <w:szCs w:val="24"/>
        </w:rPr>
      </w:pPr>
    </w:p>
    <w:sectPr>
      <w:pgSz w:w="16838" w:h="11906" w:orient="landscape"/>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4552"/>
    <w:multiLevelType w:val="multilevel"/>
    <w:tmpl w:val="30394552"/>
    <w:lvl w:ilvl="0" w:tentative="0">
      <w:start w:val="1"/>
      <w:numFmt w:val="decimalEnclosedFullstop"/>
      <w:lvlText w:val="%1"/>
      <w:lvlJc w:val="left"/>
      <w:pPr>
        <w:ind w:left="360" w:hanging="360"/>
      </w:pPr>
      <w:rPr>
        <w:rFonts w:hint="default" w:ascii="仿宋_GB2312" w:eastAsia="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 w:val="0CD80C0C"/>
    <w:rsid w:val="2DAE3D1A"/>
    <w:rsid w:val="2EC6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2053</Words>
  <Characters>11705</Characters>
  <Lines>97</Lines>
  <Paragraphs>27</Paragraphs>
  <TotalTime>174</TotalTime>
  <ScaleCrop>false</ScaleCrop>
  <LinksUpToDate>false</LinksUpToDate>
  <CharactersWithSpaces>13731</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2017-06-20T09:37:00Z</dcterms:created>
  <dc:creator>րଡ଼</dc:creator>
  <cp:lastModifiedBy>lenovo</cp:lastModifiedBy>
  <cp:lastPrinted>2017-06-23T03:44:00Z</cp:lastPrinted>
  <dcterms:modified xsi:type="dcterms:W3CDTF">2018-10-20T02:01:06Z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