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</w:pPr>
    </w:p>
    <w:p>
      <w:pPr>
        <w:spacing w:line="2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粤高教学会</w:t>
      </w:r>
      <w:r>
        <w:rPr>
          <w:rFonts w:hint="eastAsia" w:ascii="仿宋_GB2312" w:hAnsi="宋体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</w:pPr>
    </w:p>
    <w:p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关于广东省高等教育学会</w:t>
      </w:r>
      <w:bookmarkStart w:id="0" w:name="_Hlk72318430"/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44"/>
          <w:szCs w:val="44"/>
          <w:lang w:eastAsia="zh-CN" w:bidi="ar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十四五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44"/>
          <w:szCs w:val="44"/>
          <w:lang w:eastAsia="zh-CN" w:bidi="ar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规划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年度高等教育研究课题</w:t>
      </w:r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申报的通知</w:t>
      </w:r>
    </w:p>
    <w:p>
      <w:pPr>
        <w:spacing w:line="24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</w:pPr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各会员单位、分支机构：</w:t>
      </w:r>
    </w:p>
    <w:p>
      <w:pPr>
        <w:spacing w:line="560" w:lineRule="exact"/>
        <w:ind w:firstLine="640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为深入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学习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贯彻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 w:bidi="ar"/>
        </w:rPr>
        <w:t>党的二十大精神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bidi="ar"/>
        </w:rPr>
        <w:t>和习近平总书记关于教育的重要论述，助力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 w:bidi="ar"/>
        </w:rPr>
        <w:t>建设高质量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bidi="ar"/>
        </w:rPr>
        <w:t>高等教育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 w:bidi="ar"/>
        </w:rPr>
        <w:t>体系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bidi="ar"/>
        </w:rPr>
        <w:t>，根据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《广东省高等教育学会事业发展“十四五”规划》《广东省高等教育学会课题管理制度》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和广东省高等教育学会“十四五”规划高等教育研究课题选题总体安排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，决定开展广东省高等教育学会“十四五”规划202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年度高等教育研究课题立项申报工作。现将有关事项通知如下。</w:t>
      </w:r>
    </w:p>
    <w:p>
      <w:pPr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一、研究选题及研究要求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本年度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研究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课题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设六个专项，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包括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党的二十大教育部署解读研究专项、高等教育高质量发展研究专项、职业教育高质量发展研究专项、高等教育数字化研究专项、高校德育与宣传思想工作研究专项、高校教师教学发展研究专项（具体研究选题，详见附件1）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。各专项课题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研究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要坚持以习近平新时代中国特色社会主义思想为指导，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深入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贯彻落实党的二十大精神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习近平总书记关于教育的重要论述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着眼广东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高等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教育改革发展的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新趋势、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新目标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新要求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，紧紧围绕高等教育改革发展的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重点、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热点、难点问题，聚焦高质量发展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构建新发展格局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，以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破解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重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现实问题为主攻方向，坚持基础理论研究与应用对策研究并重、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宏观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问题研究与教学实践研究并重、战略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决策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研究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与政策效果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研究并重，以期更好创新理论、服务决策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  <w:t>指导实践、引领舆论。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申报的具体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课题名称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可按照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课题指南（详见附件1）中的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选题名称确定，也可在选题名称基础上适当斟酌修改后确定。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通过立项的课题，在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结项时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要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提交有份量、有深度、有决策与实践参考价值的研究报告，或高质量学术论文、调研报告、专著等研究成果。课题研究成果在公开发表、出版或内部呈送时,应在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适当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位置注明“广东省高等教育学会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eastAsia="zh-CN"/>
        </w:rPr>
        <w:t>‘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十四五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eastAsia="zh-CN"/>
        </w:rPr>
        <w:t>’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规划2023年度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‘某某’课题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研究成果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”字样（含课题名称和课题编号），未注明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的在结项时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不予承认。拟发表证明不作为申请课题结项依据。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立项数量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bCs w:val="0"/>
          <w:color w:val="333333"/>
          <w:kern w:val="2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本年度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bidi="ar"/>
        </w:rPr>
        <w:t>课题立项设重点课题、一般课题、青年课题三类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bidi="ar"/>
        </w:rPr>
        <w:t>重点课题不超过</w:t>
      </w:r>
      <w:r>
        <w:rPr>
          <w:rFonts w:hint="eastAsia" w:ascii="仿宋_GB2312" w:hAnsi="仿宋" w:eastAsia="仿宋_GB2312" w:cs="仿宋"/>
          <w:bCs w:val="0"/>
          <w:color w:val="333333"/>
          <w:kern w:val="2"/>
          <w:sz w:val="32"/>
          <w:szCs w:val="32"/>
          <w:highlight w:val="none"/>
          <w:lang w:val="en-US" w:eastAsia="zh-CN" w:bidi="ar"/>
        </w:rPr>
        <w:t>25</w:t>
      </w:r>
      <w:r>
        <w:rPr>
          <w:rFonts w:hint="eastAsia" w:ascii="仿宋_GB2312" w:hAnsi="仿宋" w:eastAsia="仿宋_GB2312" w:cs="仿宋"/>
          <w:bCs w:val="0"/>
          <w:color w:val="333333"/>
          <w:kern w:val="2"/>
          <w:sz w:val="32"/>
          <w:szCs w:val="32"/>
          <w:lang w:bidi="ar"/>
        </w:rPr>
        <w:t>项、一般课题</w:t>
      </w:r>
      <w:r>
        <w:rPr>
          <w:rFonts w:hint="eastAsia" w:ascii="仿宋_GB2312" w:hAnsi="仿宋" w:eastAsia="仿宋_GB2312" w:cs="仿宋"/>
          <w:bCs w:val="0"/>
          <w:color w:val="333333"/>
          <w:kern w:val="2"/>
          <w:sz w:val="32"/>
          <w:szCs w:val="32"/>
          <w:highlight w:val="none"/>
          <w:lang w:val="en-US" w:eastAsia="zh-CN" w:bidi="ar"/>
        </w:rPr>
        <w:t>20</w:t>
      </w:r>
      <w:r>
        <w:rPr>
          <w:rFonts w:hint="eastAsia" w:ascii="仿宋_GB2312" w:hAnsi="仿宋" w:eastAsia="仿宋_GB2312" w:cs="仿宋"/>
          <w:bCs w:val="0"/>
          <w:color w:val="333333"/>
          <w:kern w:val="2"/>
          <w:sz w:val="32"/>
          <w:szCs w:val="32"/>
          <w:highlight w:val="none"/>
          <w:lang w:bidi="ar"/>
        </w:rPr>
        <w:t>0</w:t>
      </w:r>
      <w:r>
        <w:rPr>
          <w:rFonts w:hint="eastAsia" w:ascii="仿宋_GB2312" w:hAnsi="仿宋" w:eastAsia="仿宋_GB2312" w:cs="仿宋"/>
          <w:bCs w:val="0"/>
          <w:color w:val="333333"/>
          <w:kern w:val="2"/>
          <w:sz w:val="32"/>
          <w:szCs w:val="32"/>
          <w:lang w:bidi="ar"/>
        </w:rPr>
        <w:t>项左右、青年课题</w:t>
      </w:r>
      <w:r>
        <w:rPr>
          <w:rFonts w:hint="eastAsia" w:ascii="仿宋_GB2312" w:hAnsi="仿宋" w:eastAsia="仿宋_GB2312" w:cs="仿宋"/>
          <w:bCs w:val="0"/>
          <w:color w:val="333333"/>
          <w:kern w:val="2"/>
          <w:sz w:val="32"/>
          <w:szCs w:val="32"/>
          <w:highlight w:val="none"/>
          <w:lang w:val="en-US" w:eastAsia="zh-CN" w:bidi="ar"/>
        </w:rPr>
        <w:t>100</w:t>
      </w:r>
      <w:r>
        <w:rPr>
          <w:rFonts w:hint="eastAsia" w:ascii="仿宋_GB2312" w:hAnsi="仿宋" w:eastAsia="仿宋_GB2312" w:cs="仿宋"/>
          <w:bCs w:val="0"/>
          <w:color w:val="333333"/>
          <w:kern w:val="2"/>
          <w:sz w:val="32"/>
          <w:szCs w:val="32"/>
          <w:lang w:bidi="ar"/>
        </w:rPr>
        <w:t>项左右。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三、申报要求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（一）课题立项申报面向范围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本会</w:t>
      </w:r>
      <w:r>
        <w:rPr>
          <w:rFonts w:hint="eastAsia" w:ascii="仿宋_GB2312" w:hAnsi="仿宋" w:eastAsia="仿宋_GB2312" w:cs="仿宋"/>
          <w:sz w:val="32"/>
          <w:szCs w:val="32"/>
        </w:rPr>
        <w:t>所有会员单位、分支机构。希望全体理事带头申报，鼓励跨学科、跨单位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联</w:t>
      </w:r>
      <w:r>
        <w:rPr>
          <w:rFonts w:hint="eastAsia" w:ascii="仿宋_GB2312" w:hAnsi="仿宋" w:eastAsia="仿宋_GB2312" w:cs="仿宋"/>
          <w:sz w:val="32"/>
          <w:szCs w:val="32"/>
        </w:rPr>
        <w:t>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请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各会员单位、分支机构结合实际，按要求组织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立项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申报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原则上，每个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本科高校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bidi="ar"/>
        </w:rPr>
        <w:t>会员单位、分支机构申报数不超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过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项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其中含高校教师教学发展专项2项）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每个高职高专院校、非高校研究生培养机构、独立设置教育科研机构会员单位申报数不超过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项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其中含高校教师教学发展专项1项）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bidi="ar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（二）课题申请人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主持人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应具备以下条件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遵守中华人民共和国宪法和法律；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sz w:val="32"/>
          <w:szCs w:val="32"/>
        </w:rPr>
        <w:t>具有独立开展研究和组织开展研究的能力，能够承担实质性研究工作；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重点课题申请人须具有正高级专业技术职称（职务），能够切实组织和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领</w:t>
      </w:r>
      <w:r>
        <w:rPr>
          <w:rFonts w:hint="eastAsia" w:ascii="仿宋_GB2312" w:hAnsi="仿宋" w:eastAsia="仿宋_GB2312" w:cs="仿宋"/>
          <w:sz w:val="32"/>
          <w:szCs w:val="32"/>
        </w:rPr>
        <w:t>导课题组成员开展课题研究；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一般课题申请人须具有副高级以上专业技术职称（职务）或博士学位，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若</w:t>
      </w:r>
      <w:r>
        <w:rPr>
          <w:rFonts w:hint="eastAsia" w:ascii="仿宋_GB2312" w:hAnsi="仿宋" w:eastAsia="仿宋_GB2312" w:cs="仿宋"/>
          <w:sz w:val="32"/>
          <w:szCs w:val="32"/>
        </w:rPr>
        <w:t>不具有副高级以上专业技术职称（职务）或博士学位，则须有2名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副</w:t>
      </w:r>
      <w:r>
        <w:rPr>
          <w:rFonts w:hint="eastAsia" w:ascii="仿宋_GB2312" w:hAnsi="仿宋" w:eastAsia="仿宋_GB2312" w:cs="仿宋"/>
          <w:sz w:val="32"/>
          <w:szCs w:val="32"/>
        </w:rPr>
        <w:t>高级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以上</w:t>
      </w:r>
      <w:r>
        <w:rPr>
          <w:rFonts w:hint="eastAsia" w:ascii="仿宋_GB2312" w:hAnsi="仿宋" w:eastAsia="仿宋_GB2312" w:cs="仿宋"/>
          <w:sz w:val="32"/>
          <w:szCs w:val="32"/>
        </w:rPr>
        <w:t>专业技术职称（职务）专家推荐；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仿宋"/>
          <w:sz w:val="32"/>
          <w:szCs w:val="32"/>
        </w:rPr>
        <w:t>青年课题申请人须具有初级以上专业技术职称（职务）或硕士以上学位，年龄不超过35周岁（198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年8月31日之后出生）；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仿宋"/>
          <w:sz w:val="32"/>
          <w:szCs w:val="32"/>
        </w:rPr>
        <w:t>已经承担学会课题且未结题者不得申报，每位课题申请人只能申报1项课题，课题组成员不得少于2人（含主持人），课题组成员不能同时参加2个以上课题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仿宋" w:eastAsia="仿宋_GB2312" w:cs="仿宋"/>
          <w:sz w:val="32"/>
          <w:szCs w:val="32"/>
        </w:rPr>
        <w:t>，课题组成员的填报须征得其本人同意，鼓励跨单位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跨学科</w:t>
      </w:r>
      <w:r>
        <w:rPr>
          <w:rFonts w:hint="eastAsia" w:ascii="仿宋_GB2312" w:hAnsi="仿宋" w:eastAsia="仿宋_GB2312" w:cs="仿宋"/>
          <w:sz w:val="32"/>
          <w:szCs w:val="32"/>
        </w:rPr>
        <w:t>联合申报。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（三）课题立项申请材料报送方式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课题申请书和活页（附件2、3各一式3份）经所在单位或学会分支机构审查合格并签署意见后，寄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送</w:t>
      </w:r>
      <w:r>
        <w:rPr>
          <w:rFonts w:hint="eastAsia" w:ascii="仿宋_GB2312" w:hAnsi="仿宋" w:eastAsia="仿宋_GB2312" w:cs="仿宋"/>
          <w:sz w:val="32"/>
          <w:szCs w:val="32"/>
        </w:rPr>
        <w:t>至学会秘书处（注：邮寄的资料一概不退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回</w:t>
      </w:r>
      <w:r>
        <w:rPr>
          <w:rFonts w:hint="eastAsia" w:ascii="仿宋_GB2312" w:hAnsi="仿宋" w:eastAsia="仿宋_GB2312" w:cs="仿宋"/>
          <w:sz w:val="32"/>
          <w:szCs w:val="32"/>
        </w:rPr>
        <w:t>，如有需要请申请人做好相关资料备份），同时将其电子版（原件盖章PDF扫描版）及申报信息汇总表（附件4）电子版一同发送到指定邮箱（</w:t>
      </w:r>
      <w:r>
        <w:rPr>
          <w:rFonts w:ascii="Times New Roman" w:hAnsi="Times New Roman" w:eastAsia="仿宋_GB2312" w:cs="Times New Roman"/>
          <w:sz w:val="32"/>
          <w:szCs w:val="32"/>
        </w:rPr>
        <w:t>gdsgjxhkt2@126.com</w:t>
      </w:r>
      <w:r>
        <w:rPr>
          <w:rFonts w:hint="eastAsia" w:ascii="仿宋_GB2312" w:hAnsi="仿宋" w:eastAsia="仿宋_GB2312" w:cs="仿宋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四、其他事宜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申报时间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课题申报自本通知印发之日起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至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日（星期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结束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以邮戳发出时间为准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，逾期将不予受理。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研究完成时限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 w:cs="仿宋"/>
          <w:sz w:val="32"/>
          <w:szCs w:val="32"/>
        </w:rPr>
        <w:t>年度立项课题，原则上要求在</w:t>
      </w: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年内结题，研究期限自课题批准立项之日起计。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开题要求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课题立项后，重点课题由申请人所在单位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或学会分支机构</w:t>
      </w:r>
      <w:r>
        <w:rPr>
          <w:rFonts w:hint="eastAsia" w:ascii="仿宋_GB2312" w:hAnsi="仿宋" w:eastAsia="仿宋_GB2312" w:cs="仿宋"/>
          <w:sz w:val="32"/>
          <w:szCs w:val="32"/>
        </w:rPr>
        <w:t>会同学会秘书处组织开题，一般课题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青年课题</w:t>
      </w:r>
      <w:r>
        <w:rPr>
          <w:rFonts w:hint="eastAsia" w:ascii="仿宋_GB2312" w:hAnsi="仿宋" w:eastAsia="仿宋_GB2312" w:cs="仿宋"/>
          <w:sz w:val="32"/>
          <w:szCs w:val="32"/>
        </w:rPr>
        <w:t>由课题申请人所在单位或学会分支机构自行组织开题。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课题申报相关附件下载方式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课题立项申报相关附件可通过扫描以下二维码进行下载。</w:t>
      </w:r>
    </w:p>
    <w:p>
      <w:pPr>
        <w:spacing w:line="240" w:lineRule="auto"/>
        <w:ind w:firstLine="640" w:firstLineChars="200"/>
        <w:jc w:val="center"/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yellow"/>
          <w:lang w:eastAsia="zh-CN"/>
        </w:rPr>
        <w:drawing>
          <wp:inline distT="0" distB="0" distL="114300" distR="114300">
            <wp:extent cx="1377315" cy="1377315"/>
            <wp:effectExtent l="0" t="0" r="6985" b="6985"/>
            <wp:docPr id="1" name="图片 1" descr="关于广东省高等教育学会“十四五”规划2023年度高等教育研究课题申报的相关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广东省高等教育学会“十四五”规划2023年度高等教育研究课题申报的相关附件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缴交课题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申报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评审费。</w:t>
      </w:r>
      <w:r>
        <w:rPr>
          <w:rFonts w:hint="eastAsia" w:ascii="仿宋_GB2312" w:hAnsi="仿宋" w:eastAsia="仿宋_GB2312" w:cs="仿宋"/>
          <w:sz w:val="32"/>
          <w:szCs w:val="32"/>
        </w:rPr>
        <w:t>每项课题申报者需缴交课题评审费200元，由学会秘书处在受理申报和评审时代收。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u w:val="none"/>
          <w:shd w:val="clear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shd w:val="clear"/>
          <w:lang w:val="en-US" w:eastAsia="zh-CN"/>
        </w:rPr>
        <w:t>1.个人缴费：请务必于5月19日（星期五）前登录学会网站—“课题管理”—“2023年课题”—“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  <w:lang w:val="en-US" w:eastAsia="zh-CN" w:bidi="ar"/>
        </w:rPr>
        <w:instrText xml:space="preserve"> HYPERLINK "http://gdgjxh.org.cn/details/2766.html" \t "http://gdgjxh.org.cn/listb/_blank" </w:instrTex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</w:rPr>
        <w:t>广东省高等教育学会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  <w:lang w:eastAsia="zh-CN"/>
        </w:rPr>
        <w:t>‘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</w:rPr>
        <w:t>十四五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  <w:lang w:eastAsia="zh-CN"/>
        </w:rPr>
        <w:t>’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</w:rPr>
        <w:t>规划 2023年度高等教育研究课题申报缴费入口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  <w:lang w:eastAsia="zh-CN"/>
        </w:rPr>
        <w:t>”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处填写缴费回执并缴费（学会网站：</w:t>
      </w:r>
      <w:r>
        <w:rPr>
          <w:rFonts w:hint="eastAsia" w:ascii="仿宋_GB2312" w:hAnsi="仿宋" w:eastAsia="仿宋_GB2312" w:cs="仿宋"/>
          <w:sz w:val="32"/>
          <w:szCs w:val="32"/>
          <w:u w:val="none"/>
          <w:shd w:val="clear"/>
        </w:rPr>
        <w:t>http://gdgjxh.org.cn/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）。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line="56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2.集体缴费：5人以上可采取集体缴费方式，</w:t>
      </w:r>
      <w:r>
        <w:rPr>
          <w:rFonts w:hint="eastAsia" w:ascii="仿宋_GB2312" w:hAnsi="仿宋" w:eastAsia="仿宋_GB2312" w:cs="仿宋"/>
          <w:sz w:val="32"/>
          <w:szCs w:val="32"/>
        </w:rPr>
        <w:t>汇款方式为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财务统一</w:t>
      </w:r>
      <w:r>
        <w:rPr>
          <w:rFonts w:hint="eastAsia" w:ascii="仿宋_GB2312" w:hAnsi="仿宋" w:eastAsia="仿宋_GB2312" w:cs="仿宋"/>
          <w:sz w:val="32"/>
          <w:szCs w:val="32"/>
        </w:rPr>
        <w:t>转账，汇款时间为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本通知印发之日至5月19日（星期五）。</w:t>
      </w:r>
      <w:r>
        <w:rPr>
          <w:rFonts w:hint="eastAsia" w:ascii="仿宋_GB2312" w:hAnsi="仿宋" w:eastAsia="仿宋_GB2312" w:cs="仿宋"/>
          <w:sz w:val="32"/>
          <w:szCs w:val="32"/>
        </w:rPr>
        <w:t>汇款时请务必在转账单用途栏中注明“课题评审费</w:t>
      </w:r>
      <w:r>
        <w:rPr>
          <w:rFonts w:ascii="仿宋_GB2312" w:hAnsi="仿宋" w:eastAsia="仿宋_GB2312" w:cs="仿宋"/>
          <w:sz w:val="32"/>
          <w:szCs w:val="32"/>
        </w:rPr>
        <w:t>+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学校/单位名称</w:t>
      </w:r>
      <w:r>
        <w:rPr>
          <w:rFonts w:ascii="仿宋_GB2312" w:hAnsi="仿宋" w:eastAsia="仿宋_GB2312" w:cs="仿宋"/>
          <w:sz w:val="32"/>
          <w:szCs w:val="32"/>
        </w:rPr>
        <w:t>”。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账户名称：广东省高等教育学会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开户银行：中国建设银行广州广卫路支行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账号：</w:t>
      </w:r>
      <w:r>
        <w:rPr>
          <w:rFonts w:ascii="仿宋_GB2312" w:hAnsi="仿宋" w:eastAsia="仿宋_GB2312" w:cs="仿宋"/>
          <w:sz w:val="32"/>
          <w:szCs w:val="32"/>
        </w:rPr>
        <w:t>44050142180200001775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汇款后请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于当天</w:t>
      </w:r>
      <w:r>
        <w:rPr>
          <w:rFonts w:hint="eastAsia" w:ascii="仿宋_GB2312" w:hAnsi="仿宋" w:eastAsia="仿宋_GB2312" w:cs="仿宋"/>
          <w:sz w:val="32"/>
          <w:szCs w:val="32"/>
        </w:rPr>
        <w:t>扫描以下二维码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准确填写《广东省高等教育学会课题申报缴纳评审费回执单》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附件5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学会</w:t>
      </w:r>
      <w:r>
        <w:rPr>
          <w:rFonts w:hint="eastAsia" w:ascii="仿宋_GB2312" w:hAnsi="仿宋" w:eastAsia="仿宋_GB2312" w:cs="仿宋"/>
          <w:sz w:val="32"/>
          <w:szCs w:val="32"/>
        </w:rPr>
        <w:t>秘书处收到评审费后，将根据回执信息开具评审费发票，并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通过</w:t>
      </w:r>
      <w:r>
        <w:rPr>
          <w:rFonts w:hint="eastAsia" w:ascii="仿宋_GB2312" w:hAnsi="仿宋" w:eastAsia="仿宋_GB2312" w:cs="仿宋"/>
          <w:sz w:val="32"/>
          <w:szCs w:val="32"/>
        </w:rPr>
        <w:t>邮箱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渠道</w:t>
      </w:r>
      <w:r>
        <w:rPr>
          <w:rFonts w:hint="eastAsia" w:ascii="仿宋_GB2312" w:hAnsi="仿宋" w:eastAsia="仿宋_GB2312" w:cs="仿宋"/>
          <w:sz w:val="32"/>
          <w:szCs w:val="32"/>
        </w:rPr>
        <w:t>将评审费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电子</w:t>
      </w:r>
      <w:r>
        <w:rPr>
          <w:rFonts w:hint="eastAsia" w:ascii="仿宋_GB2312" w:hAnsi="仿宋" w:eastAsia="仿宋_GB2312" w:cs="仿宋"/>
          <w:sz w:val="32"/>
          <w:szCs w:val="32"/>
        </w:rPr>
        <w:t>发票发出。请各申报人全面准确地填写发票信息及收件人信息，以便学会秘书处准确及时发出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电子</w:t>
      </w:r>
      <w:r>
        <w:rPr>
          <w:rFonts w:hint="eastAsia" w:ascii="仿宋_GB2312" w:hAnsi="仿宋" w:eastAsia="仿宋_GB2312" w:cs="仿宋"/>
          <w:sz w:val="32"/>
          <w:szCs w:val="32"/>
        </w:rPr>
        <w:t>发票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如果有不需要发票等其他情况，请备注“不需要发票”等信息。</w:t>
      </w:r>
    </w:p>
    <w:p>
      <w:pPr>
        <w:spacing w:line="240" w:lineRule="auto"/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yellow"/>
          <w:lang w:val="en-US" w:eastAsia="zh-CN"/>
        </w:rPr>
        <w:drawing>
          <wp:inline distT="0" distB="0" distL="114300" distR="114300">
            <wp:extent cx="1184910" cy="1214755"/>
            <wp:effectExtent l="0" t="0" r="8890" b="4445"/>
            <wp:docPr id="2" name="图片 2" descr="缴费回执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缴费回执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仿宋" w:eastAsia="黑体" w:cs="仿宋"/>
          <w:color w:val="33333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学会联系方式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人及电话</w:t>
      </w:r>
      <w:r>
        <w:rPr>
          <w:rFonts w:hint="eastAsia" w:ascii="仿宋_GB2312" w:hAnsi="仿宋" w:eastAsia="仿宋_GB2312" w:cs="仿宋"/>
          <w:sz w:val="32"/>
          <w:szCs w:val="32"/>
        </w:rPr>
        <w:t>：唐老师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课题申报事宜）/</w:t>
      </w:r>
      <w:r>
        <w:rPr>
          <w:rFonts w:hint="eastAsia" w:ascii="仿宋_GB2312" w:hAnsi="仿宋" w:eastAsia="仿宋_GB2312" w:cs="仿宋"/>
          <w:sz w:val="32"/>
          <w:szCs w:val="32"/>
        </w:rPr>
        <w:t>020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仿宋"/>
          <w:sz w:val="32"/>
          <w:szCs w:val="32"/>
        </w:rPr>
        <w:t>33970087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邵老师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评审费事宜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 w:cs="仿宋"/>
          <w:sz w:val="32"/>
          <w:szCs w:val="32"/>
        </w:rPr>
        <w:t>020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仿宋"/>
          <w:sz w:val="32"/>
          <w:szCs w:val="32"/>
        </w:rPr>
        <w:t>33970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179；</w:t>
      </w:r>
    </w:p>
    <w:p>
      <w:pPr>
        <w:spacing w:line="560" w:lineRule="exact"/>
        <w:ind w:firstLine="630" w:firstLineChars="300"/>
        <w:jc w:val="lef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fldChar w:fldCharType="begin"/>
      </w:r>
      <w:r>
        <w:instrText xml:space="preserve"> HYPERLINK "mailto:gdsgjxhxz@126.com；邮寄地址：广州市越秀区广卫路14" </w:instrText>
      </w:r>
      <w:r>
        <w:fldChar w:fldCharType="separate"/>
      </w:r>
      <w:r>
        <w:rPr>
          <w:rStyle w:val="17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地址：广州市越秀区广卫路14</w:t>
      </w:r>
      <w:r>
        <w:rPr>
          <w:rStyle w:val="17"/>
          <w:rFonts w:hint="eastAsia" w:ascii="仿宋_GB2312" w:hAnsi="仿宋" w:eastAsia="仿宋_GB2312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号后座三楼302室广东省高等教育学会秘书处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;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邮编：510035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附件：1.广东省高等教育学会“十四五”规划202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年</w:t>
      </w: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度高等教育研究课题指南</w:t>
      </w:r>
    </w:p>
    <w:p>
      <w:pPr>
        <w:spacing w:line="560" w:lineRule="exact"/>
        <w:ind w:firstLine="1600" w:firstLineChars="500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2</w:t>
      </w: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广东省高等教育学会课题立项申请书</w:t>
      </w:r>
    </w:p>
    <w:p>
      <w:pPr>
        <w:spacing w:line="560" w:lineRule="exact"/>
        <w:ind w:firstLine="1600" w:firstLineChars="500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3</w:t>
      </w: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广东省高等教育学会课题论证活页</w:t>
      </w:r>
    </w:p>
    <w:p>
      <w:pPr>
        <w:spacing w:line="560" w:lineRule="exact"/>
        <w:ind w:firstLine="1600" w:firstLineChars="500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广东省高等教育学会课题申报信息汇总表</w:t>
      </w:r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 xml:space="preserve">          5.广东省高等教育学会课题申报缴纳评审费回执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单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right="651" w:rightChars="310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 xml:space="preserve">                          </w:t>
      </w: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 xml:space="preserve"> 广东省高等教育学会</w:t>
      </w:r>
    </w:p>
    <w:p>
      <w:pPr>
        <w:spacing w:line="560" w:lineRule="exact"/>
        <w:ind w:right="508" w:rightChars="242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 xml:space="preserve">      </w:t>
      </w:r>
      <w:bookmarkStart w:id="1" w:name="_GoBack"/>
      <w:bookmarkEnd w:id="1"/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 xml:space="preserve">                      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日</w:t>
      </w:r>
    </w:p>
    <w:p>
      <w:pPr>
        <w:spacing w:line="560" w:lineRule="exact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附件1</w:t>
      </w:r>
    </w:p>
    <w:p>
      <w:pPr>
        <w:pStyle w:val="2"/>
        <w:spacing w:line="240" w:lineRule="exact"/>
        <w:ind w:firstLine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firstLine="720" w:firstLineChars="200"/>
        <w:jc w:val="left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广东省高等教育学会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“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十四五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”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规划202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年度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高等教育研究课题指南</w:t>
      </w:r>
    </w:p>
    <w:p>
      <w:pPr>
        <w:spacing w:line="240" w:lineRule="exact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</w:pPr>
    </w:p>
    <w:p>
      <w:pPr>
        <w:spacing w:line="240" w:lineRule="exact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方正小标宋简体" w:hAnsi="黑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党的二十大教育部署解读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研究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专项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/>
        </w:rPr>
        <w:t>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中国式高等教育现代化研究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（二）深化高等教育领域综合改革研究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（三）加强基础学科、新兴学科、交叉学科建设路径研究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（四）基础学科拔尖创新人才培养模式研究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（五）全面提高人才自主培养质量研究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（六）统筹职业教育、高等教育、继续教育协同创新研究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（七）推进职普融通、产教融合、科教融汇的实践策略研究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（八）优化职业教育类型定位研究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（九）加快建设中国特色、世界一流的大学和优势学科策略研究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（十）优化国家科研机构、高水平研究型大学、科技领军企业定位和布局研究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（十一）加快建设世界重要人才中心、创新高地与促进人才区域合理布局、协调发展研究</w:t>
      </w:r>
    </w:p>
    <w:p>
      <w:pPr>
        <w:pStyle w:val="2"/>
        <w:numPr>
          <w:ilvl w:val="-1"/>
          <w:numId w:val="0"/>
        </w:num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高等教育高质量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研究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专项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十二</w:t>
      </w: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普及化时代高等教育分类发展研究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（十三）广东高等教育高质量发展标准研究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（十四）广东高水平大学群体建设路径研究</w:t>
      </w:r>
    </w:p>
    <w:p>
      <w:pPr>
        <w:pStyle w:val="2"/>
        <w:spacing w:line="560" w:lineRule="exact"/>
        <w:ind w:firstLine="640" w:firstLineChars="200"/>
        <w:rPr>
          <w:rFonts w:hint="default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（十五）新型高水平理工科大学建设的理论与实践研究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（十六）高水平师范大学建设</w:t>
      </w:r>
      <w:r>
        <w:rPr>
          <w:rFonts w:hint="eastAsia" w:ascii="仿宋_GB2312" w:hAnsi="黑体" w:eastAsia="仿宋_GB2312"/>
          <w:sz w:val="32"/>
          <w:szCs w:val="32"/>
        </w:rPr>
        <w:t>路径研究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（十七）新工科、新医科、新农科、新文科、新师范建设的广东模式研究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十八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</w:rPr>
        <w:t>广东本科专业建设质量提升路径研究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（十九）广东本科高校教学质量监测体系建设研究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（二十）广东研究生教育高质量发展路径研究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（二十一）广东新工科助力制造业当家建设路径研究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（二十二）高水平科技自立自强与广东高校基础研究、应用基础研究优势发挥研究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（二十三）高等教育规划教材建设研究</w:t>
      </w:r>
    </w:p>
    <w:p>
      <w:pPr>
        <w:spacing w:line="560" w:lineRule="exact"/>
        <w:ind w:firstLine="640" w:firstLineChars="200"/>
        <w:rPr>
          <w:rFonts w:hint="eastAsia" w:ascii="仿宋_GB2312" w:eastAsia="黑体" w:hAnsiTheme="minorHAnsi" w:cstheme="minorBidi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职业教育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高质量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研究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专项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  <w:t>（二十四）广东高等职业教育高质量发展策略研究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二十五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高等职业教育专业设置管理与预警机制研究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  <w:t>（二十六）高等</w:t>
      </w:r>
      <w:r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val="en-US" w:eastAsia="zh-CN" w:bidi="ar"/>
        </w:rPr>
        <w:t>职</w:t>
      </w:r>
      <w:r>
        <w:rPr>
          <w:rFonts w:hint="eastAsia" w:ascii="仿宋_GB2312" w:eastAsia="仿宋_GB2312"/>
          <w:sz w:val="32"/>
          <w:szCs w:val="32"/>
          <w:lang w:bidi="ar"/>
        </w:rPr>
        <w:t>业教育招生模式改革研究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二十七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高等</w:t>
      </w:r>
      <w:r>
        <w:rPr>
          <w:rFonts w:hint="eastAsia" w:ascii="仿宋_GB2312" w:eastAsia="仿宋_GB2312"/>
          <w:sz w:val="32"/>
          <w:szCs w:val="32"/>
          <w:lang w:bidi="ar"/>
        </w:rPr>
        <w:t>职业学校教师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专业发展</w:t>
      </w:r>
      <w:r>
        <w:rPr>
          <w:rFonts w:hint="eastAsia" w:ascii="仿宋_GB2312" w:eastAsia="仿宋_GB2312"/>
          <w:sz w:val="32"/>
          <w:szCs w:val="32"/>
          <w:lang w:bidi="ar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二十八</w:t>
      </w: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高等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bidi="ar"/>
        </w:rPr>
        <w:t>职业教育服务乡村振兴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 w:bidi="ar"/>
        </w:rPr>
        <w:t>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二十九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职业本科教育改革发展研究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职业教育制度执行监管机制研究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三十一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地方政府职业教育绩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效</w:t>
      </w:r>
      <w:r>
        <w:rPr>
          <w:rFonts w:hint="eastAsia" w:ascii="仿宋_GB2312" w:eastAsia="仿宋_GB2312"/>
          <w:sz w:val="32"/>
          <w:szCs w:val="32"/>
          <w:lang w:bidi="ar"/>
        </w:rPr>
        <w:t>评价指标体系研究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三十二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职普</w:t>
      </w:r>
      <w:r>
        <w:rPr>
          <w:rFonts w:hint="eastAsia" w:ascii="仿宋_GB2312" w:eastAsia="仿宋_GB2312"/>
          <w:sz w:val="32"/>
          <w:szCs w:val="32"/>
          <w:lang w:bidi="ar"/>
        </w:rPr>
        <w:t>有机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融通</w:t>
      </w:r>
      <w:r>
        <w:rPr>
          <w:rFonts w:hint="eastAsia" w:ascii="仿宋_GB2312" w:eastAsia="仿宋_GB2312"/>
          <w:sz w:val="32"/>
          <w:szCs w:val="32"/>
          <w:lang w:bidi="ar"/>
        </w:rPr>
        <w:t>的机制研究</w:t>
      </w:r>
    </w:p>
    <w:p>
      <w:pPr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三十三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职业教育规划教材建设研究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bCs w:val="0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四、高等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bidi="ar"/>
        </w:rPr>
        <w:t>教育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数字化研究专项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（三十四）推进高等教育数字化策略研究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（三十五）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内涵与实现路径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（三十六）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高等教育数字化课程资源开发研究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三十七</w:t>
      </w:r>
      <w:r>
        <w:rPr>
          <w:rFonts w:hint="eastAsia" w:ascii="仿宋_GB2312" w:eastAsia="仿宋_GB2312" w:cstheme="minorBidi"/>
          <w:sz w:val="32"/>
          <w:szCs w:val="32"/>
          <w:lang w:eastAsia="zh-CN"/>
        </w:rPr>
        <w:t>）</w:t>
      </w:r>
      <w:r>
        <w:rPr>
          <w:rFonts w:hint="default" w:ascii="仿宋_GB2312" w:eastAsia="仿宋_GB2312" w:hAnsiTheme="minorHAnsi" w:cstheme="minorBidi"/>
          <w:sz w:val="32"/>
          <w:szCs w:val="32"/>
        </w:rPr>
        <w:t>惠及全民的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default" w:ascii="仿宋_GB2312" w:eastAsia="仿宋_GB2312" w:hAnsiTheme="minorHAnsi" w:cstheme="minorBidi"/>
          <w:sz w:val="32"/>
          <w:szCs w:val="32"/>
        </w:rPr>
        <w:t>支撑体系应用示范研究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三十八</w:t>
      </w:r>
      <w:r>
        <w:rPr>
          <w:rFonts w:hint="eastAsia" w:ascii="仿宋_GB2312" w:eastAsia="仿宋_GB2312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基于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数字化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的</w:t>
      </w:r>
      <w:r>
        <w:rPr>
          <w:rFonts w:hint="default" w:ascii="仿宋_GB2312" w:eastAsia="仿宋_GB2312" w:hAnsiTheme="minorHAnsi" w:cstheme="minorBidi"/>
          <w:sz w:val="32"/>
          <w:szCs w:val="32"/>
        </w:rPr>
        <w:t>区域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</w:t>
      </w:r>
      <w:r>
        <w:rPr>
          <w:rFonts w:hint="default" w:ascii="仿宋_GB2312" w:eastAsia="仿宋_GB2312" w:hAnsiTheme="minorHAnsi" w:cstheme="minorBidi"/>
          <w:sz w:val="32"/>
          <w:szCs w:val="32"/>
        </w:rPr>
        <w:t>教育资源公共服务模式研究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（三十九）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高等教育数字化教学与</w:t>
      </w:r>
      <w:r>
        <w:rPr>
          <w:rFonts w:hint="default" w:ascii="仿宋_GB2312" w:eastAsia="仿宋_GB2312" w:hAnsiTheme="minorHAnsi" w:cstheme="minorBidi"/>
          <w:sz w:val="32"/>
          <w:szCs w:val="32"/>
        </w:rPr>
        <w:t>学习方式变革及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其</w:t>
      </w:r>
      <w:r>
        <w:rPr>
          <w:rFonts w:hint="default" w:ascii="仿宋_GB2312" w:eastAsia="仿宋_GB2312" w:hAnsiTheme="minorHAnsi" w:cstheme="minorBidi"/>
          <w:sz w:val="32"/>
          <w:szCs w:val="32"/>
        </w:rPr>
        <w:t>影响因素研究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（四十）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default" w:ascii="仿宋_GB2312" w:eastAsia="仿宋_GB2312" w:hAnsiTheme="minorHAnsi" w:cstheme="minorBidi"/>
          <w:sz w:val="32"/>
          <w:szCs w:val="32"/>
        </w:rPr>
        <w:t>促进继续教育创新与发展研究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（四十一）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高等教育数字化与终身学习认证体系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四十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高等教育数字化发展与</w:t>
      </w:r>
      <w:r>
        <w:rPr>
          <w:rFonts w:hint="default" w:ascii="仿宋_GB2312" w:eastAsia="仿宋_GB2312"/>
          <w:sz w:val="32"/>
          <w:szCs w:val="32"/>
        </w:rPr>
        <w:t>学术诚信问题研究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（四十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）高校人工智能与伦理教育的现状、挑战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对策研究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（四十四）数字化背景下</w:t>
      </w:r>
      <w:r>
        <w:rPr>
          <w:rFonts w:hint="eastAsia" w:ascii="仿宋_GB2312" w:eastAsia="仿宋_GB2312"/>
          <w:sz w:val="32"/>
          <w:szCs w:val="32"/>
        </w:rPr>
        <w:t>促进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eastAsia="仿宋_GB2312"/>
          <w:sz w:val="32"/>
          <w:szCs w:val="32"/>
        </w:rPr>
        <w:t>健康成长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成才</w:t>
      </w:r>
      <w:r>
        <w:rPr>
          <w:rFonts w:hint="eastAsia" w:ascii="仿宋_GB2312" w:eastAsia="仿宋_GB2312"/>
          <w:sz w:val="32"/>
          <w:szCs w:val="32"/>
        </w:rPr>
        <w:t>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五、高校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德育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与宣传思想工作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（四十五）高校马克思主义理论课与</w:t>
      </w:r>
      <w:r>
        <w:rPr>
          <w:rFonts w:hint="eastAsia" w:ascii="仿宋_GB2312" w:eastAsia="仿宋_GB2312"/>
          <w:sz w:val="32"/>
          <w:szCs w:val="32"/>
        </w:rPr>
        <w:t>德育课程教学改革研究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四十六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时代精神与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道德教育改革研究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（四十七）大学生</w:t>
      </w:r>
      <w:r>
        <w:rPr>
          <w:rFonts w:hint="eastAsia" w:ascii="仿宋_GB2312" w:eastAsia="仿宋_GB2312"/>
          <w:sz w:val="32"/>
          <w:szCs w:val="32"/>
        </w:rPr>
        <w:t>生命教育研究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四十八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大学生社会责任感现状及其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（四十九）推进大中小学思想政治教育一体化建设研究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（五十）高校</w:t>
      </w:r>
      <w:r>
        <w:rPr>
          <w:rFonts w:hint="eastAsia" w:ascii="仿宋_GB2312" w:eastAsia="仿宋_GB2312"/>
          <w:sz w:val="32"/>
          <w:szCs w:val="32"/>
        </w:rPr>
        <w:t>师德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师风</w:t>
      </w:r>
      <w:r>
        <w:rPr>
          <w:rFonts w:hint="eastAsia" w:ascii="仿宋_GB2312" w:eastAsia="仿宋_GB2312"/>
          <w:sz w:val="32"/>
          <w:szCs w:val="32"/>
        </w:rPr>
        <w:t>建设与考核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五十一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高校学风建设与学术规范教育研究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五十二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高校意识形态工作与高校改革发展稳定研究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（五十三）加强高校全媒体传播体系建设研究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（五十四）塑造高校主流舆论新格局与加强国际传播能力建设研究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六、高校教师教学发展研究专项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）深化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</w:rPr>
        <w:t>教师教学发展中心运作机制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教师教学发展中心专业化建设路径研究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院系教师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/>
          <w:sz w:val="32"/>
          <w:szCs w:val="32"/>
        </w:rPr>
        <w:t>发展分中心的组织运行研究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发展中心工作人员胜任力研究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数字化转型背景下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教师教学发展研究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新教师教学发展方案制定研究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）高校教师教学发展方案分级课程开发与设计研究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高校教师</w:t>
      </w:r>
      <w:r>
        <w:rPr>
          <w:rFonts w:hint="eastAsia" w:ascii="仿宋_GB2312" w:eastAsia="仿宋_GB2312"/>
          <w:sz w:val="32"/>
          <w:szCs w:val="32"/>
        </w:rPr>
        <w:t>教学培训与课堂变革一体化研究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混合式教学培训的理论与实践研究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教师教学学术能力发展态势和机制构建研究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教师教学发展全周期培养制度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教师教学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共同体建设策略研究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新工科、新医科、新农科、新文科、新师范</w:t>
      </w:r>
      <w:r>
        <w:rPr>
          <w:rFonts w:hint="eastAsia" w:ascii="仿宋_GB2312" w:eastAsia="仿宋_GB2312"/>
          <w:sz w:val="32"/>
          <w:szCs w:val="32"/>
        </w:rPr>
        <w:t>建设背景下的虚拟教研（虚拟教研室）体制机制建设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教师专业发展档案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tbl>
      <w:tblPr>
        <w:tblStyle w:val="12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广东省高等教育学会课题立项申请书</w:t>
      </w:r>
    </w:p>
    <w:p>
      <w:pPr>
        <w:spacing w:line="360" w:lineRule="auto"/>
        <w:rPr>
          <w:rFonts w:ascii="仿宋" w:hAnsi="仿宋" w:eastAsia="仿宋" w:cs="仿宋"/>
        </w:rPr>
      </w:pPr>
    </w:p>
    <w:p>
      <w:pPr>
        <w:spacing w:line="360" w:lineRule="auto"/>
        <w:ind w:firstLine="640"/>
        <w:rPr>
          <w:rFonts w:ascii="仿宋" w:hAnsi="仿宋" w:eastAsia="仿宋" w:cs="仿宋"/>
        </w:rPr>
      </w:pP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（盖章）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>
      <w:pPr>
        <w:spacing w:line="360" w:lineRule="auto"/>
        <w:ind w:firstLine="3520" w:firstLineChars="800"/>
        <w:outlineLvl w:val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说  明</w:t>
      </w:r>
    </w:p>
    <w:p>
      <w:pPr>
        <w:pStyle w:val="2"/>
        <w:spacing w:line="560" w:lineRule="exact"/>
        <w:ind w:firstLine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一、本申请书所列各项内容均须实事求是填写，表达要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准</w:t>
      </w:r>
      <w:r>
        <w:rPr>
          <w:rFonts w:hint="eastAsia" w:ascii="仿宋" w:hAnsi="仿宋" w:eastAsia="仿宋" w:cs="仿宋"/>
          <w:sz w:val="30"/>
          <w:szCs w:val="30"/>
        </w:rPr>
        <w:t>确、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规范、</w:t>
      </w:r>
      <w:r>
        <w:rPr>
          <w:rFonts w:hint="eastAsia" w:ascii="仿宋" w:hAnsi="仿宋" w:eastAsia="仿宋" w:cs="仿宋"/>
          <w:sz w:val="30"/>
          <w:szCs w:val="30"/>
        </w:rPr>
        <w:t>严谨。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课题主持人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不必填写封面的“课题编号”。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四、预期成果为论文、调研报告、著作、教材、标准、方案等。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五、申报表中内容的填写应简明扼要，课题设计论证不超过5000字。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七、本申请书用A3纸印制。</w:t>
      </w:r>
    </w:p>
    <w:p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课题申请人承诺：</w:t>
      </w:r>
    </w:p>
    <w:p>
      <w:pPr>
        <w:pStyle w:val="6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请书填写内容真实，没有学术不端现象。若获准立项，我承诺以本申请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>
      <w:pPr>
        <w:pStyle w:val="6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>
      <w:pPr>
        <w:pStyle w:val="6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申请人（签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名</w:t>
      </w:r>
      <w:r>
        <w:rPr>
          <w:rFonts w:hint="eastAsia" w:ascii="仿宋" w:hAnsi="仿宋" w:eastAsia="仿宋" w:cs="仿宋"/>
          <w:sz w:val="30"/>
          <w:szCs w:val="30"/>
        </w:rPr>
        <w:t>）：</w:t>
      </w:r>
    </w:p>
    <w:p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1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0"/>
        <w:gridCol w:w="60"/>
        <w:gridCol w:w="720"/>
        <w:gridCol w:w="600"/>
        <w:gridCol w:w="420"/>
        <w:gridCol w:w="184"/>
        <w:gridCol w:w="425"/>
        <w:gridCol w:w="284"/>
        <w:gridCol w:w="427"/>
        <w:gridCol w:w="60"/>
        <w:gridCol w:w="300"/>
        <w:gridCol w:w="347"/>
        <w:gridCol w:w="193"/>
        <w:gridCol w:w="304"/>
        <w:gridCol w:w="56"/>
        <w:gridCol w:w="360"/>
        <w:gridCol w:w="109"/>
        <w:gridCol w:w="254"/>
        <w:gridCol w:w="71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主持人姓名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研究专长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电子信箱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12"/>
        <w:tblW w:w="86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不具有高级专业技术职务的课题主持人，须由两名具有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副</w:t>
            </w:r>
            <w:r>
              <w:rPr>
                <w:rFonts w:hint="eastAsia" w:ascii="仿宋" w:hAnsi="仿宋" w:eastAsia="仿宋"/>
                <w:szCs w:val="20"/>
              </w:rPr>
              <w:t>高级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以上</w:t>
            </w:r>
            <w:r>
              <w:rPr>
                <w:rFonts w:hint="eastAsia" w:ascii="仿宋" w:hAnsi="仿宋" w:eastAsia="仿宋"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称</w:t>
            </w:r>
            <w:r>
              <w:rPr>
                <w:rFonts w:hint="eastAsia" w:ascii="仿宋" w:hAnsi="仿宋" w:eastAsia="仿宋"/>
                <w:szCs w:val="20"/>
              </w:rPr>
              <w:t>的专家填写推荐意见。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12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应用价值）；2．国内外研究现状；3.本课题研究的总体框架和基本内容，拟达到的目标（阶段性目标和总体目标）；4.拟突破的重点问题、拟解决的关键问题及主要创新之处；5.研究方法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研究手段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Cs w:val="20"/>
              </w:rPr>
              <w:t>研究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Cs w:val="20"/>
              </w:rPr>
              <w:t>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b/>
          <w:sz w:val="32"/>
          <w:szCs w:val="32"/>
        </w:rPr>
        <w:t>的可行性</w:t>
      </w:r>
    </w:p>
    <w:tbl>
      <w:tblPr>
        <w:tblStyle w:val="12"/>
        <w:tblW w:w="972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9" w:hRule="atLeast"/>
        </w:trPr>
        <w:tc>
          <w:tcPr>
            <w:tcW w:w="9729" w:type="dxa"/>
          </w:tcPr>
          <w:p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课题</w:t>
            </w:r>
            <w:r>
              <w:rPr>
                <w:rFonts w:hint="eastAsia" w:ascii="仿宋" w:hAnsi="仿宋" w:eastAsia="仿宋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Cs w:val="20"/>
              </w:rPr>
              <w:t>、资料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设备等科研条件。</w:t>
            </w:r>
          </w:p>
          <w:p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12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计算机及其辅助设备购置和使用费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 xml:space="preserve">               元</w:t>
            </w:r>
          </w:p>
        </w:tc>
      </w:tr>
    </w:tbl>
    <w:p>
      <w:pPr>
        <w:spacing w:line="480" w:lineRule="exact"/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六、审核意见（申报人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所在单位科研管理部门</w:t>
      </w:r>
      <w:r>
        <w:rPr>
          <w:rFonts w:hint="eastAsia" w:ascii="仿宋" w:hAnsi="仿宋" w:eastAsia="仿宋"/>
          <w:b/>
          <w:sz w:val="32"/>
          <w:szCs w:val="32"/>
        </w:rPr>
        <w:t>只需填写第一栏）</w:t>
      </w:r>
    </w:p>
    <w:tbl>
      <w:tblPr>
        <w:tblStyle w:val="12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1.课题主持人所在单位科研管理部门意见：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单位盖章：         负责人（签字）：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2.省高等教育学会意见：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12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</w:p>
    <w:p>
      <w:pPr>
        <w:ind w:left="-420" w:leftChars="-200" w:right="-420" w:rightChars="-200" w:firstLine="630" w:firstLineChars="300"/>
      </w:pPr>
    </w:p>
    <w:p>
      <w:pPr>
        <w:rPr>
          <w:u w:val="thick"/>
        </w:rPr>
      </w:pPr>
    </w:p>
    <w:tbl>
      <w:tblPr>
        <w:tblStyle w:val="12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3.本课题的总体框架和基本内容，拟达到的目标（阶段性目标和总体目标）；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、资料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设备等科研条件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</w:tcPr>
          <w:p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三、本课题的总体框架和基本内容，拟达到的目标（阶段性目标和总体目标）。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</w:tcPr>
          <w:p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、资料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设备等科研条件。</w:t>
            </w:r>
          </w:p>
        </w:tc>
      </w:tr>
    </w:tbl>
    <w:p>
      <w:pPr>
        <w:tabs>
          <w:tab w:val="left" w:pos="-540"/>
        </w:tabs>
        <w:ind w:left="-720" w:leftChars="-343" w:right="-359" w:rightChars="-171" w:firstLine="42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</w:t>
      </w:r>
      <w:r>
        <w:rPr>
          <w:rFonts w:hint="eastAsia" w:ascii="仿宋" w:hAnsi="仿宋" w:eastAsia="仿宋"/>
          <w:lang w:val="en-US" w:eastAsia="zh-CN"/>
        </w:rPr>
        <w:t>请</w:t>
      </w:r>
      <w:r>
        <w:rPr>
          <w:rFonts w:hint="eastAsia" w:ascii="仿宋" w:hAnsi="仿宋" w:eastAsia="仿宋"/>
        </w:rPr>
        <w:t>书》一致，一般不加副标题。</w:t>
      </w:r>
    </w:p>
    <w:p>
      <w:pPr>
        <w:tabs>
          <w:tab w:val="left" w:pos="-540"/>
        </w:tabs>
        <w:ind w:left="-720" w:leftChars="-343" w:right="-359" w:rightChars="-171" w:firstLine="1050" w:firstLineChars="500"/>
        <w:rPr>
          <w:rFonts w:ascii="仿宋" w:hAnsi="仿宋" w:eastAsia="仿宋"/>
        </w:rPr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.活页可加页，A3纸双面印制，单独装订。</w:t>
      </w:r>
    </w:p>
    <w:p>
      <w:pPr>
        <w:widowControl/>
        <w:jc w:val="left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sectPr>
          <w:footerReference r:id="rId9" w:type="first"/>
          <w:footerReference r:id="rId7" w:type="default"/>
          <w:footerReference r:id="rId8" w:type="even"/>
          <w:pgSz w:w="11906" w:h="16838"/>
          <w:pgMar w:top="2098" w:right="1474" w:bottom="1985" w:left="1588" w:header="851" w:footer="1588" w:gutter="0"/>
          <w:cols w:space="720" w:num="1"/>
          <w:titlePg/>
          <w:docGrid w:type="lines" w:linePitch="312" w:charSpace="0"/>
        </w:sectPr>
      </w:pP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br w:type="page"/>
      </w:r>
    </w:p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广东省高等教育学会课题申报信息汇总表</w:t>
      </w:r>
    </w:p>
    <w:p>
      <w:pPr>
        <w:spacing w:line="240" w:lineRule="exac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申报单位：                                                                         日期：</w:t>
      </w:r>
    </w:p>
    <w:tbl>
      <w:tblPr>
        <w:tblStyle w:val="12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95"/>
        <w:gridCol w:w="1422"/>
        <w:gridCol w:w="1481"/>
        <w:gridCol w:w="1876"/>
        <w:gridCol w:w="155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sectPr>
          <w:pgSz w:w="16838" w:h="11906" w:orient="landscape"/>
          <w:pgMar w:top="1588" w:right="2098" w:bottom="1474" w:left="1985" w:header="851" w:footer="1588" w:gutter="0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lang w:val="en-US" w:eastAsia="zh-CN"/>
        </w:rPr>
        <w:t>注：</w:t>
      </w:r>
      <w:r>
        <w:rPr>
          <w:rFonts w:hint="eastAsia"/>
          <w:lang w:val="en-US" w:eastAsia="zh-CN"/>
        </w:rPr>
        <w:t>此表由申报单位填写。每个本科高校会员单位、分支机构申报数原则上不超过12项；每个高职高专院校、非高校研究生培养机构、独立设置教育科研机构会员单位申报数原则上不超过9项。</w:t>
      </w:r>
    </w:p>
    <w:p>
      <w:pPr>
        <w:jc w:val="left"/>
        <w:rPr>
          <w:rFonts w:hint="eastAsia"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附件5</w:t>
      </w:r>
    </w:p>
    <w:p>
      <w:pPr>
        <w:spacing w:line="240" w:lineRule="exact"/>
        <w:jc w:val="left"/>
        <w:rPr>
          <w:rFonts w:ascii="仿宋" w:hAnsi="仿宋" w:eastAsia="仿宋" w:cs="仿宋"/>
          <w:b/>
          <w:sz w:val="40"/>
          <w:szCs w:val="40"/>
          <w:highlight w:val="yellow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缴纳评审费回执单</w:t>
      </w:r>
    </w:p>
    <w:tbl>
      <w:tblPr>
        <w:tblStyle w:val="12"/>
        <w:tblpPr w:leftFromText="180" w:rightFromText="180" w:vertAnchor="text" w:horzAnchor="page" w:tblpX="1642" w:tblpY="575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950"/>
        <w:gridCol w:w="240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6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缴纳</w:t>
            </w:r>
            <w:r>
              <w:rPr>
                <w:rFonts w:hint="eastAsia" w:ascii="黑体" w:hAnsi="黑体" w:eastAsia="黑体"/>
                <w:sz w:val="24"/>
              </w:rPr>
              <w:t>评审费</w:t>
            </w:r>
            <w:r>
              <w:rPr>
                <w:rFonts w:ascii="黑体" w:hAnsi="黑体" w:eastAsia="黑体"/>
                <w:sz w:val="24"/>
              </w:rPr>
              <w:t>单位</w:t>
            </w: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汇款日期</w:t>
            </w:r>
          </w:p>
        </w:tc>
        <w:tc>
          <w:tcPr>
            <w:tcW w:w="2710" w:type="dxa"/>
            <w:vAlign w:val="center"/>
          </w:tcPr>
          <w:p>
            <w:pPr>
              <w:tabs>
                <w:tab w:val="left" w:pos="7560"/>
              </w:tabs>
              <w:ind w:firstLine="240" w:firstLineChars="10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202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6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发票抬头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发票税号</w:t>
            </w:r>
          </w:p>
        </w:tc>
        <w:tc>
          <w:tcPr>
            <w:tcW w:w="2710" w:type="dxa"/>
            <w:vAlign w:val="center"/>
          </w:tcPr>
          <w:p>
            <w:pPr>
              <w:tabs>
                <w:tab w:val="left" w:pos="7560"/>
              </w:tabs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9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缴纳</w:t>
            </w:r>
            <w:r>
              <w:rPr>
                <w:rFonts w:hint="eastAsia" w:ascii="黑体" w:hAnsi="黑体" w:eastAsia="黑体"/>
                <w:sz w:val="24"/>
              </w:rPr>
              <w:t>评审费项数及姓名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项数</w:t>
            </w:r>
          </w:p>
        </w:tc>
        <w:tc>
          <w:tcPr>
            <w:tcW w:w="271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9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910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汇款金额（元）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200</w:t>
            </w:r>
            <w:r>
              <w:rPr>
                <w:rFonts w:hint="eastAsia" w:ascii="黑体" w:hAnsi="黑体" w:eastAsia="黑体"/>
                <w:sz w:val="24"/>
              </w:rPr>
              <w:t>元</w:t>
            </w:r>
            <w:r>
              <w:rPr>
                <w:rFonts w:ascii="黑体" w:hAnsi="黑体" w:eastAsia="黑体"/>
                <w:sz w:val="24"/>
              </w:rPr>
              <w:t>/</w:t>
            </w:r>
            <w:r>
              <w:rPr>
                <w:rFonts w:hint="eastAsia" w:ascii="黑体" w:hAnsi="黑体" w:eastAsia="黑体"/>
                <w:sz w:val="24"/>
              </w:rPr>
              <w:t>项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共：</w:t>
            </w:r>
            <w:r>
              <w:rPr>
                <w:rFonts w:ascii="黑体" w:hAnsi="黑体" w:eastAsia="黑体"/>
                <w:sz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发票收件人姓名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发票收件人手机号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发票收件人</w:t>
            </w: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发票收件人通讯</w:t>
            </w:r>
            <w:r>
              <w:rPr>
                <w:rFonts w:hint="eastAsia" w:ascii="黑体" w:hAnsi="黑体" w:eastAsia="黑体"/>
                <w:sz w:val="24"/>
              </w:rPr>
              <w:t>地</w:t>
            </w:r>
            <w:r>
              <w:rPr>
                <w:rFonts w:ascii="黑体" w:hAnsi="黑体" w:eastAsia="黑体"/>
                <w:sz w:val="24"/>
              </w:rPr>
              <w:t>址（市+街道+门牌号+单位名称等）</w:t>
            </w:r>
          </w:p>
        </w:tc>
        <w:tc>
          <w:tcPr>
            <w:tcW w:w="7060" w:type="dxa"/>
            <w:gridSpan w:val="3"/>
            <w:vAlign w:val="center"/>
          </w:tcPr>
          <w:p>
            <w:pPr>
              <w:jc w:val="center"/>
            </w:pPr>
          </w:p>
        </w:tc>
      </w:tr>
    </w:tbl>
    <w:p>
      <w:pPr>
        <w:ind w:firstLine="8190" w:firstLineChars="3900"/>
      </w:pPr>
      <w:r>
        <w:rPr>
          <w:rFonts w:hint="eastAsia"/>
        </w:rPr>
        <w:t xml:space="preserve"> </w:t>
      </w:r>
    </w:p>
    <w:p>
      <w:pPr>
        <w:ind w:firstLine="422" w:firstLineChars="200"/>
        <w:rPr>
          <w:rFonts w:ascii="仿宋_GB2312" w:eastAsia="仿宋_GB2312"/>
          <w:sz w:val="24"/>
        </w:rPr>
      </w:pPr>
      <w:r>
        <w:rPr>
          <w:rFonts w:hint="eastAsia" w:ascii="黑体" w:hAnsi="黑体" w:eastAsia="黑体"/>
          <w:b/>
        </w:rPr>
        <w:t>注</w:t>
      </w:r>
      <w:r>
        <w:rPr>
          <w:rFonts w:hint="eastAsia" w:ascii="黑体" w:hAnsi="黑体" w:eastAsia="黑体"/>
        </w:rPr>
        <w:t>：</w:t>
      </w:r>
      <w:r>
        <w:rPr>
          <w:rFonts w:hint="eastAsia" w:ascii="仿宋_GB2312" w:eastAsia="仿宋_GB2312"/>
          <w:sz w:val="24"/>
        </w:rPr>
        <w:t>为方便学会信息查询，并准确将</w:t>
      </w:r>
      <w:r>
        <w:rPr>
          <w:rFonts w:hint="eastAsia" w:ascii="仿宋_GB2312" w:eastAsia="仿宋_GB2312"/>
          <w:sz w:val="24"/>
          <w:lang w:val="en-US" w:eastAsia="zh-CN"/>
        </w:rPr>
        <w:t>电子发票</w:t>
      </w:r>
      <w:r>
        <w:rPr>
          <w:rFonts w:hint="eastAsia" w:ascii="仿宋_GB2312" w:eastAsia="仿宋_GB2312"/>
          <w:sz w:val="24"/>
        </w:rPr>
        <w:t>发给您，请</w:t>
      </w:r>
      <w:r>
        <w:rPr>
          <w:rFonts w:hint="eastAsia" w:ascii="仿宋_GB2312" w:eastAsia="仿宋_GB2312"/>
          <w:b/>
          <w:sz w:val="24"/>
        </w:rPr>
        <w:t>务必于</w:t>
      </w:r>
      <w:r>
        <w:rPr>
          <w:rFonts w:hint="eastAsia" w:ascii="仿宋_GB2312" w:eastAsia="仿宋_GB2312"/>
          <w:b/>
          <w:sz w:val="24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</w:rPr>
        <w:t>月</w:t>
      </w:r>
      <w:r>
        <w:rPr>
          <w:rFonts w:hint="eastAsia" w:ascii="仿宋_GB2312" w:eastAsia="仿宋_GB2312"/>
          <w:b/>
          <w:sz w:val="24"/>
          <w:lang w:val="en-US" w:eastAsia="zh-CN"/>
        </w:rPr>
        <w:t>19</w:t>
      </w:r>
      <w:r>
        <w:rPr>
          <w:rFonts w:hint="eastAsia" w:ascii="仿宋_GB2312" w:eastAsia="仿宋_GB2312"/>
          <w:b/>
          <w:sz w:val="24"/>
        </w:rPr>
        <w:t>日</w:t>
      </w:r>
      <w:r>
        <w:rPr>
          <w:rFonts w:hint="eastAsia" w:ascii="仿宋_GB2312" w:eastAsia="仿宋_GB2312"/>
          <w:b/>
          <w:sz w:val="24"/>
          <w:lang w:eastAsia="zh-CN"/>
        </w:rPr>
        <w:t>（</w:t>
      </w:r>
      <w:r>
        <w:rPr>
          <w:rFonts w:hint="eastAsia" w:ascii="仿宋_GB2312" w:eastAsia="仿宋_GB2312"/>
          <w:b/>
          <w:sz w:val="24"/>
          <w:lang w:val="en-US" w:eastAsia="zh-CN"/>
        </w:rPr>
        <w:t>星期五</w:t>
      </w:r>
      <w:r>
        <w:rPr>
          <w:rFonts w:hint="eastAsia" w:ascii="仿宋_GB2312" w:eastAsia="仿宋_GB2312"/>
          <w:b/>
          <w:sz w:val="24"/>
          <w:lang w:eastAsia="zh-CN"/>
        </w:rPr>
        <w:t>）</w:t>
      </w:r>
      <w:r>
        <w:rPr>
          <w:rFonts w:hint="eastAsia" w:ascii="仿宋_GB2312" w:eastAsia="仿宋_GB2312"/>
          <w:b/>
          <w:sz w:val="24"/>
        </w:rPr>
        <w:t>前</w:t>
      </w:r>
      <w:r>
        <w:rPr>
          <w:rFonts w:hint="eastAsia" w:ascii="仿宋_GB2312" w:eastAsia="仿宋_GB2312"/>
          <w:b/>
          <w:sz w:val="24"/>
          <w:lang w:val="en-US" w:eastAsia="zh-CN"/>
        </w:rPr>
        <w:t>扫描二维码</w:t>
      </w:r>
      <w:r>
        <w:rPr>
          <w:rFonts w:hint="eastAsia" w:ascii="仿宋_GB2312" w:eastAsia="仿宋_GB2312"/>
          <w:sz w:val="24"/>
        </w:rPr>
        <w:t>填好此回执</w:t>
      </w:r>
      <w:r>
        <w:rPr>
          <w:rFonts w:hint="eastAsia" w:ascii="仿宋_GB2312" w:eastAsia="仿宋_GB2312"/>
          <w:sz w:val="24"/>
          <w:lang w:eastAsia="zh-CN"/>
        </w:rPr>
        <w:t>。</w:t>
      </w:r>
    </w:p>
    <w:p/>
    <w:p>
      <w:pPr>
        <w:jc w:val="center"/>
        <w:rPr>
          <w:rFonts w:ascii="仿宋_GB2312" w:hAnsi="仿宋" w:eastAsia="仿宋_GB2312" w:cs="仿宋"/>
          <w:sz w:val="32"/>
          <w:szCs w:val="32"/>
        </w:rPr>
      </w:pPr>
    </w:p>
    <w:p/>
    <w:p/>
    <w:p>
      <w:pPr>
        <w:spacing w:line="480" w:lineRule="exact"/>
        <w:ind w:left="1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/>
    <w:p>
      <w:pPr>
        <w:spacing w:line="560" w:lineRule="exact"/>
        <w:jc w:val="left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2098" w:right="1474" w:bottom="1985" w:left="1588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1447847511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541195117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250943914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50855515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ZTlkZGFhMzNlYWNlZGUyN2FlMThiOTE4YmU3NmIifQ=="/>
  </w:docVars>
  <w:rsids>
    <w:rsidRoot w:val="00AB5FEB"/>
    <w:rsid w:val="000846D4"/>
    <w:rsid w:val="000A1F21"/>
    <w:rsid w:val="000D08B6"/>
    <w:rsid w:val="001231F9"/>
    <w:rsid w:val="0015414F"/>
    <w:rsid w:val="00171AD0"/>
    <w:rsid w:val="001B1E87"/>
    <w:rsid w:val="001F0523"/>
    <w:rsid w:val="00260013"/>
    <w:rsid w:val="00277488"/>
    <w:rsid w:val="002849C6"/>
    <w:rsid w:val="002A4EDE"/>
    <w:rsid w:val="002B7333"/>
    <w:rsid w:val="002D7FE9"/>
    <w:rsid w:val="002E5429"/>
    <w:rsid w:val="002E757F"/>
    <w:rsid w:val="00341ADD"/>
    <w:rsid w:val="00345D5B"/>
    <w:rsid w:val="00390FBE"/>
    <w:rsid w:val="00394A45"/>
    <w:rsid w:val="003A0CEA"/>
    <w:rsid w:val="003A6142"/>
    <w:rsid w:val="003A7855"/>
    <w:rsid w:val="003B13E7"/>
    <w:rsid w:val="003B6443"/>
    <w:rsid w:val="003C12EB"/>
    <w:rsid w:val="003F3FD9"/>
    <w:rsid w:val="00401DAB"/>
    <w:rsid w:val="0041450D"/>
    <w:rsid w:val="00427836"/>
    <w:rsid w:val="00431102"/>
    <w:rsid w:val="004378C5"/>
    <w:rsid w:val="00443E45"/>
    <w:rsid w:val="00466C7B"/>
    <w:rsid w:val="00476608"/>
    <w:rsid w:val="004815F9"/>
    <w:rsid w:val="00484F91"/>
    <w:rsid w:val="00517BF7"/>
    <w:rsid w:val="00523F91"/>
    <w:rsid w:val="00537876"/>
    <w:rsid w:val="00565F3A"/>
    <w:rsid w:val="005B4238"/>
    <w:rsid w:val="005D7F38"/>
    <w:rsid w:val="005E3488"/>
    <w:rsid w:val="00622828"/>
    <w:rsid w:val="006351A9"/>
    <w:rsid w:val="006524A2"/>
    <w:rsid w:val="006925E0"/>
    <w:rsid w:val="006940D1"/>
    <w:rsid w:val="006E6FA4"/>
    <w:rsid w:val="006E7DDF"/>
    <w:rsid w:val="006F0659"/>
    <w:rsid w:val="00754BDD"/>
    <w:rsid w:val="00763D9A"/>
    <w:rsid w:val="007B28D0"/>
    <w:rsid w:val="007D1F75"/>
    <w:rsid w:val="007E5FE4"/>
    <w:rsid w:val="00855D5A"/>
    <w:rsid w:val="00860C29"/>
    <w:rsid w:val="008867AF"/>
    <w:rsid w:val="008C77F7"/>
    <w:rsid w:val="00902E35"/>
    <w:rsid w:val="0093197A"/>
    <w:rsid w:val="00960501"/>
    <w:rsid w:val="009623B9"/>
    <w:rsid w:val="00984411"/>
    <w:rsid w:val="009A66FC"/>
    <w:rsid w:val="009C5DD1"/>
    <w:rsid w:val="00A1757E"/>
    <w:rsid w:val="00A4407F"/>
    <w:rsid w:val="00AB5FEB"/>
    <w:rsid w:val="00AF2ADB"/>
    <w:rsid w:val="00AF499A"/>
    <w:rsid w:val="00AF59EC"/>
    <w:rsid w:val="00AF6E40"/>
    <w:rsid w:val="00B0415D"/>
    <w:rsid w:val="00B11CB9"/>
    <w:rsid w:val="00B24092"/>
    <w:rsid w:val="00B62C87"/>
    <w:rsid w:val="00B731A7"/>
    <w:rsid w:val="00B91B36"/>
    <w:rsid w:val="00B96F96"/>
    <w:rsid w:val="00BA2027"/>
    <w:rsid w:val="00BB0510"/>
    <w:rsid w:val="00BB4413"/>
    <w:rsid w:val="00C00FF6"/>
    <w:rsid w:val="00C039BD"/>
    <w:rsid w:val="00C402CD"/>
    <w:rsid w:val="00C535A9"/>
    <w:rsid w:val="00CA67E8"/>
    <w:rsid w:val="00CC43D5"/>
    <w:rsid w:val="00CD6F79"/>
    <w:rsid w:val="00D01686"/>
    <w:rsid w:val="00D11872"/>
    <w:rsid w:val="00D11A93"/>
    <w:rsid w:val="00D46E6E"/>
    <w:rsid w:val="00D92227"/>
    <w:rsid w:val="00D92ACB"/>
    <w:rsid w:val="00D93A1F"/>
    <w:rsid w:val="00D93CD8"/>
    <w:rsid w:val="00DA4491"/>
    <w:rsid w:val="00DC6CB0"/>
    <w:rsid w:val="00DD0D20"/>
    <w:rsid w:val="00E4150F"/>
    <w:rsid w:val="00E42572"/>
    <w:rsid w:val="00E649D7"/>
    <w:rsid w:val="00E65CE9"/>
    <w:rsid w:val="00E67CAA"/>
    <w:rsid w:val="00E732F8"/>
    <w:rsid w:val="00E82449"/>
    <w:rsid w:val="00EA00A2"/>
    <w:rsid w:val="00EA7F76"/>
    <w:rsid w:val="00EE0528"/>
    <w:rsid w:val="00EF725C"/>
    <w:rsid w:val="00EF726F"/>
    <w:rsid w:val="00F061C1"/>
    <w:rsid w:val="00F257F0"/>
    <w:rsid w:val="00F2701B"/>
    <w:rsid w:val="00F4368B"/>
    <w:rsid w:val="00F44A14"/>
    <w:rsid w:val="00F633DE"/>
    <w:rsid w:val="00F735F3"/>
    <w:rsid w:val="00F80328"/>
    <w:rsid w:val="00F90CE7"/>
    <w:rsid w:val="00F9246E"/>
    <w:rsid w:val="00FA27DE"/>
    <w:rsid w:val="02186A33"/>
    <w:rsid w:val="024F6153"/>
    <w:rsid w:val="03053577"/>
    <w:rsid w:val="03AC1B29"/>
    <w:rsid w:val="048D195A"/>
    <w:rsid w:val="04B577E2"/>
    <w:rsid w:val="04BC787E"/>
    <w:rsid w:val="05074153"/>
    <w:rsid w:val="0520485B"/>
    <w:rsid w:val="055F39CD"/>
    <w:rsid w:val="056D178C"/>
    <w:rsid w:val="059A63E7"/>
    <w:rsid w:val="0614166B"/>
    <w:rsid w:val="071C125C"/>
    <w:rsid w:val="079A7431"/>
    <w:rsid w:val="085805CB"/>
    <w:rsid w:val="09B03CDF"/>
    <w:rsid w:val="0A466107"/>
    <w:rsid w:val="0AB82BB5"/>
    <w:rsid w:val="0AD255BF"/>
    <w:rsid w:val="0BD87233"/>
    <w:rsid w:val="0BEA3807"/>
    <w:rsid w:val="0C803B53"/>
    <w:rsid w:val="0CEF49F5"/>
    <w:rsid w:val="0CF31279"/>
    <w:rsid w:val="0D234392"/>
    <w:rsid w:val="0DD360D8"/>
    <w:rsid w:val="0E8C5F7F"/>
    <w:rsid w:val="0FC1070A"/>
    <w:rsid w:val="0FCE3BB8"/>
    <w:rsid w:val="11427629"/>
    <w:rsid w:val="11555408"/>
    <w:rsid w:val="119B5D43"/>
    <w:rsid w:val="11E80D9F"/>
    <w:rsid w:val="121A752E"/>
    <w:rsid w:val="12957C2C"/>
    <w:rsid w:val="129A5663"/>
    <w:rsid w:val="12C43FF4"/>
    <w:rsid w:val="13646EE0"/>
    <w:rsid w:val="13833F28"/>
    <w:rsid w:val="13DB3D64"/>
    <w:rsid w:val="14016A57"/>
    <w:rsid w:val="14505068"/>
    <w:rsid w:val="154315BC"/>
    <w:rsid w:val="1594241D"/>
    <w:rsid w:val="163236D0"/>
    <w:rsid w:val="16FC038D"/>
    <w:rsid w:val="17044A84"/>
    <w:rsid w:val="17AF79E2"/>
    <w:rsid w:val="18C163D5"/>
    <w:rsid w:val="19490366"/>
    <w:rsid w:val="1AF81D2C"/>
    <w:rsid w:val="1B084266"/>
    <w:rsid w:val="1B5E1F53"/>
    <w:rsid w:val="1B7E269A"/>
    <w:rsid w:val="1B8A054A"/>
    <w:rsid w:val="1C5B43D1"/>
    <w:rsid w:val="1CCB706C"/>
    <w:rsid w:val="1D1125A5"/>
    <w:rsid w:val="1D7D58BD"/>
    <w:rsid w:val="1E8E65A3"/>
    <w:rsid w:val="1EA95122"/>
    <w:rsid w:val="1EE512C1"/>
    <w:rsid w:val="2024230B"/>
    <w:rsid w:val="206F5F60"/>
    <w:rsid w:val="213D7820"/>
    <w:rsid w:val="218133D6"/>
    <w:rsid w:val="21820DD5"/>
    <w:rsid w:val="21CB71C6"/>
    <w:rsid w:val="21EB1616"/>
    <w:rsid w:val="22693522"/>
    <w:rsid w:val="22AF4D3A"/>
    <w:rsid w:val="22C17821"/>
    <w:rsid w:val="2358717F"/>
    <w:rsid w:val="23601022"/>
    <w:rsid w:val="23AE0B4E"/>
    <w:rsid w:val="23B91101"/>
    <w:rsid w:val="23FF13A9"/>
    <w:rsid w:val="24262DDA"/>
    <w:rsid w:val="248C3696"/>
    <w:rsid w:val="250255F5"/>
    <w:rsid w:val="25211F83"/>
    <w:rsid w:val="257D2853"/>
    <w:rsid w:val="25867FD4"/>
    <w:rsid w:val="25CE0609"/>
    <w:rsid w:val="26034954"/>
    <w:rsid w:val="2667533E"/>
    <w:rsid w:val="26FF0BE0"/>
    <w:rsid w:val="272029F1"/>
    <w:rsid w:val="27781B9E"/>
    <w:rsid w:val="27D510A1"/>
    <w:rsid w:val="28172604"/>
    <w:rsid w:val="2A1D6A2D"/>
    <w:rsid w:val="2A3F0751"/>
    <w:rsid w:val="2B1C0E7C"/>
    <w:rsid w:val="2B6A5CA2"/>
    <w:rsid w:val="2BCD1F06"/>
    <w:rsid w:val="2BD575BF"/>
    <w:rsid w:val="2C7B17B0"/>
    <w:rsid w:val="2CB84902"/>
    <w:rsid w:val="2E460521"/>
    <w:rsid w:val="2E5D564A"/>
    <w:rsid w:val="2ED54A98"/>
    <w:rsid w:val="2EDD5DDB"/>
    <w:rsid w:val="2FB22411"/>
    <w:rsid w:val="2FCD0747"/>
    <w:rsid w:val="30236D39"/>
    <w:rsid w:val="30892492"/>
    <w:rsid w:val="30E22F6A"/>
    <w:rsid w:val="30FC114A"/>
    <w:rsid w:val="315C52EA"/>
    <w:rsid w:val="316F3186"/>
    <w:rsid w:val="320F4EAD"/>
    <w:rsid w:val="321C383F"/>
    <w:rsid w:val="32981C35"/>
    <w:rsid w:val="33D84F57"/>
    <w:rsid w:val="340B78F6"/>
    <w:rsid w:val="34480B4A"/>
    <w:rsid w:val="344B52BE"/>
    <w:rsid w:val="34FC3E0F"/>
    <w:rsid w:val="35775243"/>
    <w:rsid w:val="36561E29"/>
    <w:rsid w:val="368238FC"/>
    <w:rsid w:val="3684230E"/>
    <w:rsid w:val="36BE54D5"/>
    <w:rsid w:val="371A4A20"/>
    <w:rsid w:val="38003C16"/>
    <w:rsid w:val="38D70416"/>
    <w:rsid w:val="39682E58"/>
    <w:rsid w:val="39EC3D26"/>
    <w:rsid w:val="3A762104"/>
    <w:rsid w:val="3B477A6A"/>
    <w:rsid w:val="3C841524"/>
    <w:rsid w:val="3CA8662A"/>
    <w:rsid w:val="3CD016DD"/>
    <w:rsid w:val="3D046AD3"/>
    <w:rsid w:val="3DA54918"/>
    <w:rsid w:val="3DAD5C19"/>
    <w:rsid w:val="3DDE7605"/>
    <w:rsid w:val="3E483C21"/>
    <w:rsid w:val="3F542A99"/>
    <w:rsid w:val="410864D4"/>
    <w:rsid w:val="412C304D"/>
    <w:rsid w:val="41850CE8"/>
    <w:rsid w:val="41B25930"/>
    <w:rsid w:val="425C61ED"/>
    <w:rsid w:val="426C1EA8"/>
    <w:rsid w:val="43027812"/>
    <w:rsid w:val="43955404"/>
    <w:rsid w:val="43AD4526"/>
    <w:rsid w:val="441437D1"/>
    <w:rsid w:val="44316F05"/>
    <w:rsid w:val="44343F81"/>
    <w:rsid w:val="45C46432"/>
    <w:rsid w:val="460C1079"/>
    <w:rsid w:val="4689763D"/>
    <w:rsid w:val="474C39C9"/>
    <w:rsid w:val="474D22A8"/>
    <w:rsid w:val="479E1212"/>
    <w:rsid w:val="47ED5839"/>
    <w:rsid w:val="47FB1D04"/>
    <w:rsid w:val="480E5EDB"/>
    <w:rsid w:val="481B23A6"/>
    <w:rsid w:val="482D5EE4"/>
    <w:rsid w:val="484560E9"/>
    <w:rsid w:val="4948541D"/>
    <w:rsid w:val="4A234BE3"/>
    <w:rsid w:val="4AC26B09"/>
    <w:rsid w:val="4AF62C56"/>
    <w:rsid w:val="4BCA1699"/>
    <w:rsid w:val="4CFB6302"/>
    <w:rsid w:val="4D441C53"/>
    <w:rsid w:val="4D8C0A60"/>
    <w:rsid w:val="4E175A6C"/>
    <w:rsid w:val="4E2323A9"/>
    <w:rsid w:val="4E474B23"/>
    <w:rsid w:val="4EAD1C7F"/>
    <w:rsid w:val="4F442A10"/>
    <w:rsid w:val="4FDA2464"/>
    <w:rsid w:val="5014444A"/>
    <w:rsid w:val="50406E4E"/>
    <w:rsid w:val="51B51175"/>
    <w:rsid w:val="52770B21"/>
    <w:rsid w:val="529612A8"/>
    <w:rsid w:val="52A66D10"/>
    <w:rsid w:val="531243A6"/>
    <w:rsid w:val="54B905A1"/>
    <w:rsid w:val="551C150B"/>
    <w:rsid w:val="552C0883"/>
    <w:rsid w:val="553700F3"/>
    <w:rsid w:val="557A1A3F"/>
    <w:rsid w:val="55D83168"/>
    <w:rsid w:val="55E65A79"/>
    <w:rsid w:val="5662339D"/>
    <w:rsid w:val="572052E3"/>
    <w:rsid w:val="57636DBB"/>
    <w:rsid w:val="57E3423B"/>
    <w:rsid w:val="58016BC8"/>
    <w:rsid w:val="58087E41"/>
    <w:rsid w:val="58164875"/>
    <w:rsid w:val="584E7C2E"/>
    <w:rsid w:val="591D7CDB"/>
    <w:rsid w:val="59616A62"/>
    <w:rsid w:val="59B5605D"/>
    <w:rsid w:val="5AF937C7"/>
    <w:rsid w:val="5B7D5980"/>
    <w:rsid w:val="5BEF014E"/>
    <w:rsid w:val="5C6914DA"/>
    <w:rsid w:val="5CAC15A0"/>
    <w:rsid w:val="5CAF2C65"/>
    <w:rsid w:val="5CE172C2"/>
    <w:rsid w:val="5D783C0F"/>
    <w:rsid w:val="5DBE13B2"/>
    <w:rsid w:val="5DED7EE9"/>
    <w:rsid w:val="5E2A2EEB"/>
    <w:rsid w:val="5E637A25"/>
    <w:rsid w:val="5E7128C8"/>
    <w:rsid w:val="5EDB1EA2"/>
    <w:rsid w:val="5FA81D4C"/>
    <w:rsid w:val="5FE64BF0"/>
    <w:rsid w:val="600F3B1A"/>
    <w:rsid w:val="61552674"/>
    <w:rsid w:val="62015D11"/>
    <w:rsid w:val="62970423"/>
    <w:rsid w:val="63054EFC"/>
    <w:rsid w:val="63AE3C76"/>
    <w:rsid w:val="640970FF"/>
    <w:rsid w:val="64813139"/>
    <w:rsid w:val="64B22EA0"/>
    <w:rsid w:val="64B33C3A"/>
    <w:rsid w:val="65C459D3"/>
    <w:rsid w:val="66E53E53"/>
    <w:rsid w:val="66F6073D"/>
    <w:rsid w:val="674D73AE"/>
    <w:rsid w:val="67904DDD"/>
    <w:rsid w:val="67AE06E9"/>
    <w:rsid w:val="67DB2C28"/>
    <w:rsid w:val="6837248C"/>
    <w:rsid w:val="686D2352"/>
    <w:rsid w:val="68ED28E5"/>
    <w:rsid w:val="692A5AC3"/>
    <w:rsid w:val="6A9811DC"/>
    <w:rsid w:val="6B6712DB"/>
    <w:rsid w:val="6BD11D05"/>
    <w:rsid w:val="6BE42879"/>
    <w:rsid w:val="6C615D2A"/>
    <w:rsid w:val="6CB9724C"/>
    <w:rsid w:val="6DC5678C"/>
    <w:rsid w:val="6E44437F"/>
    <w:rsid w:val="6ECB2EF5"/>
    <w:rsid w:val="6F375468"/>
    <w:rsid w:val="6F5A4CB2"/>
    <w:rsid w:val="6F723029"/>
    <w:rsid w:val="70DE7B0E"/>
    <w:rsid w:val="70F9295E"/>
    <w:rsid w:val="71B936E5"/>
    <w:rsid w:val="722448C0"/>
    <w:rsid w:val="73125AE3"/>
    <w:rsid w:val="74262C37"/>
    <w:rsid w:val="745F0A16"/>
    <w:rsid w:val="746637AA"/>
    <w:rsid w:val="74D80B53"/>
    <w:rsid w:val="754200FE"/>
    <w:rsid w:val="75545510"/>
    <w:rsid w:val="75D5535A"/>
    <w:rsid w:val="768C6099"/>
    <w:rsid w:val="77361BC7"/>
    <w:rsid w:val="77892660"/>
    <w:rsid w:val="77C461AC"/>
    <w:rsid w:val="78680440"/>
    <w:rsid w:val="78695352"/>
    <w:rsid w:val="787F2944"/>
    <w:rsid w:val="78FD05C0"/>
    <w:rsid w:val="79F405D2"/>
    <w:rsid w:val="7A955922"/>
    <w:rsid w:val="7B65510B"/>
    <w:rsid w:val="7BD00C23"/>
    <w:rsid w:val="7C336074"/>
    <w:rsid w:val="7C75312C"/>
    <w:rsid w:val="7D911203"/>
    <w:rsid w:val="7DA769C5"/>
    <w:rsid w:val="7E1231CE"/>
    <w:rsid w:val="7E63076F"/>
    <w:rsid w:val="7E6D4729"/>
    <w:rsid w:val="7E725B75"/>
    <w:rsid w:val="7E981DA8"/>
    <w:rsid w:val="7EBA751C"/>
    <w:rsid w:val="7F2826D7"/>
    <w:rsid w:val="7F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qFormat/>
    <w:uiPriority w:val="99"/>
    <w:pPr>
      <w:ind w:firstLine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0"/>
    <w:qFormat/>
    <w:uiPriority w:val="0"/>
    <w:rPr>
      <w:rFonts w:ascii="宋体" w:hAnsi="Courier New" w:eastAsia="宋体" w:cs="Courier New"/>
      <w:szCs w:val="21"/>
    </w:rPr>
  </w:style>
  <w:style w:type="paragraph" w:styleId="7">
    <w:name w:val="endnote text"/>
    <w:basedOn w:val="1"/>
    <w:link w:val="19"/>
    <w:qFormat/>
    <w:uiPriority w:val="0"/>
    <w:pPr>
      <w:snapToGrid w:val="0"/>
      <w:jc w:val="left"/>
    </w:p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5"/>
    <w:unhideWhenUsed/>
    <w:qFormat/>
    <w:uiPriority w:val="0"/>
    <w:pPr>
      <w:ind w:firstLine="420" w:firstLineChars="200"/>
    </w:pPr>
    <w:rPr>
      <w:rFonts w:cs="Times New Roman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qFormat/>
    <w:uiPriority w:val="0"/>
    <w:rPr>
      <w:vertAlign w:val="superscript"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9">
    <w:name w:val="尾注文本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纯文本 字符"/>
    <w:basedOn w:val="14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8328-0B8E-4B77-821F-698BEC770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779</Words>
  <Characters>4442</Characters>
  <Lines>37</Lines>
  <Paragraphs>10</Paragraphs>
  <TotalTime>31</TotalTime>
  <ScaleCrop>false</ScaleCrop>
  <LinksUpToDate>false</LinksUpToDate>
  <CharactersWithSpaces>5211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2021-05-19T04:08:00Z</dcterms:created>
  <dc:creator>934940350</dc:creator>
  <cp:lastModifiedBy>Laura 、</cp:lastModifiedBy>
  <cp:lastPrinted>2022-03-02T08:00:00Z</cp:lastPrinted>
  <dcterms:modified xsi:type="dcterms:W3CDTF">2023-04-18T08:50:41Z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6A13D58F5ACA4C5AB00A6811BC80B7B8</vt:lpwstr>
  </property>
  <property fmtid="{D5CDD505-2E9C-101B-9397-08002B2CF9AE}" pid="4" name="ribbonExt">
    <vt:lpwstr>{"WPSExtOfficeTab":{"OnGetEnabled":false,"OnGetVisible":false}}</vt:lpwstr>
  </property>
</Properties>
</file>