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00"/>
        <w:gridCol w:w="1920"/>
        <w:gridCol w:w="800"/>
        <w:gridCol w:w="2016"/>
        <w:gridCol w:w="800"/>
        <w:gridCol w:w="3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960" w:type="dxa"/>
            <w:tcBorders>
              <w:top w:val="nil"/>
              <w:left w:val="nil"/>
              <w:bottom w:val="nil"/>
              <w:right w:val="nil"/>
            </w:tcBorders>
            <w:shd w:val="clear"/>
            <w:vAlign w:val="top"/>
          </w:tcPr>
          <w:p>
            <w:pPr>
              <w:keepNext w:val="0"/>
              <w:keepLines w:val="0"/>
              <w:widowControl/>
              <w:suppressLineNumbers w:val="0"/>
              <w:spacing w:before="0" w:beforeAutospacing="0" w:after="0" w:afterAutospacing="0" w:line="300" w:lineRule="atLeast"/>
              <w:ind w:left="0" w:right="0"/>
              <w:jc w:val="left"/>
              <w:rPr>
                <w:rFonts w:hint="eastAsia" w:ascii="宋体" w:hAnsi="宋体" w:eastAsia="宋体" w:cs="宋体"/>
                <w:b/>
                <w:bCs/>
                <w:i w:val="0"/>
                <w:iCs w:val="0"/>
                <w:caps w:val="0"/>
                <w:color w:val="4B4B4B"/>
                <w:spacing w:val="0"/>
                <w:sz w:val="16"/>
                <w:szCs w:val="16"/>
              </w:rPr>
            </w:pPr>
            <w:r>
              <w:rPr>
                <w:rFonts w:hint="eastAsia" w:ascii="宋体" w:hAnsi="宋体" w:eastAsia="宋体" w:cs="宋体"/>
                <w:b/>
                <w:bCs/>
                <w:i w:val="0"/>
                <w:iCs w:val="0"/>
                <w:caps w:val="0"/>
                <w:color w:val="4B4B4B"/>
                <w:spacing w:val="0"/>
                <w:kern w:val="0"/>
                <w:sz w:val="16"/>
                <w:szCs w:val="16"/>
                <w:bdr w:val="none" w:color="auto" w:sz="0" w:space="0"/>
                <w:lang w:val="en-US" w:eastAsia="zh-CN" w:bidi="ar"/>
              </w:rPr>
              <w:t>信息名称：</w:t>
            </w:r>
          </w:p>
        </w:tc>
        <w:tc>
          <w:tcPr>
            <w:tcW w:w="0" w:type="auto"/>
            <w:gridSpan w:val="5"/>
            <w:tcBorders>
              <w:top w:val="nil"/>
              <w:left w:val="nil"/>
              <w:bottom w:val="nil"/>
              <w:right w:val="nil"/>
            </w:tcBorders>
            <w:shd w:val="clear"/>
            <w:vAlign w:val="top"/>
          </w:tcPr>
          <w:p>
            <w:pPr>
              <w:keepNext w:val="0"/>
              <w:keepLines w:val="0"/>
              <w:widowControl/>
              <w:suppressLineNumbers w:val="0"/>
              <w:spacing w:before="0" w:beforeAutospacing="0" w:after="0" w:afterAutospacing="0" w:line="300" w:lineRule="atLeast"/>
              <w:ind w:left="0" w:right="0"/>
              <w:jc w:val="left"/>
              <w:rPr>
                <w:rFonts w:hint="eastAsia" w:ascii="宋体" w:hAnsi="宋体" w:eastAsia="宋体" w:cs="宋体"/>
                <w:i w:val="0"/>
                <w:iCs w:val="0"/>
                <w:caps w:val="0"/>
                <w:color w:val="4B4B4B"/>
                <w:spacing w:val="0"/>
                <w:sz w:val="16"/>
                <w:szCs w:val="16"/>
              </w:rPr>
            </w:pPr>
            <w:r>
              <w:rPr>
                <w:rFonts w:hint="eastAsia" w:ascii="宋体" w:hAnsi="宋体" w:eastAsia="宋体" w:cs="宋体"/>
                <w:i w:val="0"/>
                <w:iCs w:val="0"/>
                <w:caps w:val="0"/>
                <w:color w:val="4B4B4B"/>
                <w:spacing w:val="0"/>
                <w:kern w:val="0"/>
                <w:sz w:val="16"/>
                <w:szCs w:val="16"/>
                <w:bdr w:val="none" w:color="auto" w:sz="0" w:space="0"/>
                <w:lang w:val="en-US" w:eastAsia="zh-CN" w:bidi="ar"/>
              </w:rPr>
              <w:t>教育部关于加强和规范普通本科高校实习管理工作的意见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60" w:type="dxa"/>
            <w:tcBorders>
              <w:top w:val="nil"/>
              <w:left w:val="nil"/>
              <w:bottom w:val="nil"/>
              <w:right w:val="nil"/>
            </w:tcBorders>
            <w:shd w:val="clear"/>
            <w:vAlign w:val="top"/>
          </w:tcPr>
          <w:p>
            <w:pPr>
              <w:keepNext w:val="0"/>
              <w:keepLines w:val="0"/>
              <w:widowControl/>
              <w:suppressLineNumbers w:val="0"/>
              <w:spacing w:before="0" w:beforeAutospacing="0" w:after="0" w:afterAutospacing="0" w:line="300" w:lineRule="atLeast"/>
              <w:ind w:left="0" w:right="0"/>
              <w:jc w:val="left"/>
              <w:rPr>
                <w:rFonts w:hint="eastAsia" w:ascii="宋体" w:hAnsi="宋体" w:eastAsia="宋体" w:cs="宋体"/>
                <w:b/>
                <w:bCs/>
                <w:i w:val="0"/>
                <w:iCs w:val="0"/>
                <w:caps w:val="0"/>
                <w:color w:val="4B4B4B"/>
                <w:spacing w:val="0"/>
                <w:sz w:val="16"/>
                <w:szCs w:val="16"/>
              </w:rPr>
            </w:pPr>
            <w:r>
              <w:rPr>
                <w:rFonts w:hint="eastAsia" w:ascii="宋体" w:hAnsi="宋体" w:eastAsia="宋体" w:cs="宋体"/>
                <w:b/>
                <w:bCs/>
                <w:i w:val="0"/>
                <w:iCs w:val="0"/>
                <w:caps w:val="0"/>
                <w:color w:val="4B4B4B"/>
                <w:spacing w:val="0"/>
                <w:kern w:val="0"/>
                <w:sz w:val="16"/>
                <w:szCs w:val="16"/>
                <w:bdr w:val="none" w:color="auto" w:sz="0" w:space="0"/>
                <w:lang w:val="en-US" w:eastAsia="zh-CN" w:bidi="ar"/>
              </w:rPr>
              <w:t>信息索引：</w:t>
            </w:r>
          </w:p>
        </w:tc>
        <w:tc>
          <w:tcPr>
            <w:tcW w:w="1000"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00" w:lineRule="atLeast"/>
              <w:ind w:left="0" w:right="0"/>
              <w:jc w:val="left"/>
              <w:rPr>
                <w:rFonts w:hint="eastAsia" w:ascii="宋体" w:hAnsi="宋体" w:eastAsia="宋体" w:cs="宋体"/>
                <w:i w:val="0"/>
                <w:iCs w:val="0"/>
                <w:caps w:val="0"/>
                <w:color w:val="4B4B4B"/>
                <w:spacing w:val="0"/>
                <w:sz w:val="16"/>
                <w:szCs w:val="16"/>
              </w:rPr>
            </w:pPr>
            <w:r>
              <w:rPr>
                <w:rFonts w:hint="eastAsia" w:ascii="宋体" w:hAnsi="宋体" w:eastAsia="宋体" w:cs="宋体"/>
                <w:i w:val="0"/>
                <w:iCs w:val="0"/>
                <w:caps w:val="0"/>
                <w:color w:val="4B4B4B"/>
                <w:spacing w:val="0"/>
                <w:kern w:val="0"/>
                <w:sz w:val="16"/>
                <w:szCs w:val="16"/>
                <w:bdr w:val="none" w:color="auto" w:sz="0" w:space="0"/>
                <w:lang w:val="en-US" w:eastAsia="zh-CN" w:bidi="ar"/>
              </w:rPr>
              <w:t>360A08-07-2019-0017-1</w:t>
            </w:r>
          </w:p>
        </w:tc>
        <w:tc>
          <w:tcPr>
            <w:tcW w:w="960" w:type="dxa"/>
            <w:tcBorders>
              <w:top w:val="nil"/>
              <w:left w:val="nil"/>
              <w:bottom w:val="nil"/>
              <w:right w:val="nil"/>
            </w:tcBorders>
            <w:shd w:val="clear"/>
            <w:vAlign w:val="top"/>
          </w:tcPr>
          <w:p>
            <w:pPr>
              <w:keepNext w:val="0"/>
              <w:keepLines w:val="0"/>
              <w:widowControl/>
              <w:suppressLineNumbers w:val="0"/>
              <w:spacing w:before="0" w:beforeAutospacing="0" w:after="0" w:afterAutospacing="0" w:line="300" w:lineRule="atLeast"/>
              <w:ind w:left="0" w:right="0"/>
              <w:jc w:val="left"/>
              <w:rPr>
                <w:rFonts w:hint="eastAsia" w:ascii="宋体" w:hAnsi="宋体" w:eastAsia="宋体" w:cs="宋体"/>
                <w:b/>
                <w:bCs/>
                <w:i w:val="0"/>
                <w:iCs w:val="0"/>
                <w:caps w:val="0"/>
                <w:color w:val="4B4B4B"/>
                <w:spacing w:val="0"/>
                <w:sz w:val="16"/>
                <w:szCs w:val="16"/>
              </w:rPr>
            </w:pPr>
            <w:r>
              <w:rPr>
                <w:rFonts w:hint="eastAsia" w:ascii="宋体" w:hAnsi="宋体" w:eastAsia="宋体" w:cs="宋体"/>
                <w:b/>
                <w:bCs/>
                <w:i w:val="0"/>
                <w:iCs w:val="0"/>
                <w:caps w:val="0"/>
                <w:color w:val="4B4B4B"/>
                <w:spacing w:val="0"/>
                <w:kern w:val="0"/>
                <w:sz w:val="16"/>
                <w:szCs w:val="16"/>
                <w:bdr w:val="none" w:color="auto" w:sz="0" w:space="0"/>
                <w:lang w:val="en-US" w:eastAsia="zh-CN" w:bidi="ar"/>
              </w:rPr>
              <w:t>生成日期：</w:t>
            </w:r>
          </w:p>
        </w:tc>
        <w:tc>
          <w:tcPr>
            <w:tcW w:w="1050"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00" w:lineRule="atLeast"/>
              <w:ind w:left="0" w:right="0"/>
              <w:jc w:val="left"/>
              <w:rPr>
                <w:rFonts w:hint="eastAsia" w:ascii="宋体" w:hAnsi="宋体" w:eastAsia="宋体" w:cs="宋体"/>
                <w:i w:val="0"/>
                <w:iCs w:val="0"/>
                <w:caps w:val="0"/>
                <w:color w:val="4B4B4B"/>
                <w:spacing w:val="0"/>
                <w:sz w:val="16"/>
                <w:szCs w:val="16"/>
              </w:rPr>
            </w:pPr>
            <w:r>
              <w:rPr>
                <w:rFonts w:hint="eastAsia" w:ascii="宋体" w:hAnsi="宋体" w:eastAsia="宋体" w:cs="宋体"/>
                <w:i w:val="0"/>
                <w:iCs w:val="0"/>
                <w:caps w:val="0"/>
                <w:color w:val="4B4B4B"/>
                <w:spacing w:val="0"/>
                <w:kern w:val="0"/>
                <w:sz w:val="16"/>
                <w:szCs w:val="16"/>
                <w:bdr w:val="none" w:color="auto" w:sz="0" w:space="0"/>
                <w:lang w:val="en-US" w:eastAsia="zh-CN" w:bidi="ar"/>
              </w:rPr>
              <w:t>2019-07-12</w:t>
            </w:r>
          </w:p>
        </w:tc>
        <w:tc>
          <w:tcPr>
            <w:tcW w:w="960" w:type="dxa"/>
            <w:tcBorders>
              <w:top w:val="nil"/>
              <w:left w:val="nil"/>
              <w:bottom w:val="nil"/>
              <w:right w:val="nil"/>
            </w:tcBorders>
            <w:shd w:val="clear"/>
            <w:vAlign w:val="top"/>
          </w:tcPr>
          <w:p>
            <w:pPr>
              <w:keepNext w:val="0"/>
              <w:keepLines w:val="0"/>
              <w:widowControl/>
              <w:suppressLineNumbers w:val="0"/>
              <w:spacing w:before="0" w:beforeAutospacing="0" w:after="0" w:afterAutospacing="0" w:line="300" w:lineRule="atLeast"/>
              <w:ind w:left="0" w:right="0"/>
              <w:jc w:val="left"/>
              <w:rPr>
                <w:rFonts w:hint="eastAsia" w:ascii="宋体" w:hAnsi="宋体" w:eastAsia="宋体" w:cs="宋体"/>
                <w:b/>
                <w:bCs/>
                <w:i w:val="0"/>
                <w:iCs w:val="0"/>
                <w:caps w:val="0"/>
                <w:color w:val="4B4B4B"/>
                <w:spacing w:val="0"/>
                <w:sz w:val="16"/>
                <w:szCs w:val="16"/>
              </w:rPr>
            </w:pPr>
            <w:r>
              <w:rPr>
                <w:rFonts w:hint="eastAsia" w:ascii="宋体" w:hAnsi="宋体" w:eastAsia="宋体" w:cs="宋体"/>
                <w:b/>
                <w:bCs/>
                <w:i w:val="0"/>
                <w:iCs w:val="0"/>
                <w:caps w:val="0"/>
                <w:color w:val="4B4B4B"/>
                <w:spacing w:val="0"/>
                <w:kern w:val="0"/>
                <w:sz w:val="16"/>
                <w:szCs w:val="16"/>
                <w:bdr w:val="none" w:color="auto" w:sz="0" w:space="0"/>
                <w:lang w:val="en-US" w:eastAsia="zh-CN" w:bidi="ar"/>
              </w:rPr>
              <w:t>发文机构：</w:t>
            </w:r>
          </w:p>
        </w:tc>
        <w:tc>
          <w:tcPr>
            <w:tcW w:w="1700"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00" w:lineRule="atLeast"/>
              <w:ind w:left="0" w:right="0"/>
              <w:jc w:val="left"/>
              <w:rPr>
                <w:rFonts w:hint="eastAsia" w:ascii="宋体" w:hAnsi="宋体" w:eastAsia="宋体" w:cs="宋体"/>
                <w:i w:val="0"/>
                <w:iCs w:val="0"/>
                <w:caps w:val="0"/>
                <w:color w:val="4B4B4B"/>
                <w:spacing w:val="0"/>
                <w:sz w:val="16"/>
                <w:szCs w:val="16"/>
              </w:rPr>
            </w:pPr>
            <w:r>
              <w:rPr>
                <w:rFonts w:hint="eastAsia" w:ascii="宋体" w:hAnsi="宋体" w:eastAsia="宋体" w:cs="宋体"/>
                <w:i w:val="0"/>
                <w:iCs w:val="0"/>
                <w:caps w:val="0"/>
                <w:color w:val="4B4B4B"/>
                <w:spacing w:val="0"/>
                <w:kern w:val="0"/>
                <w:sz w:val="16"/>
                <w:szCs w:val="16"/>
                <w:bdr w:val="none" w:color="auto" w:sz="0" w:space="0"/>
                <w:lang w:val="en-US" w:eastAsia="zh-CN" w:bidi="ar"/>
              </w:rPr>
              <w:t>中华人民共和国教育部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60" w:type="dxa"/>
            <w:tcBorders>
              <w:top w:val="nil"/>
              <w:left w:val="nil"/>
              <w:bottom w:val="nil"/>
              <w:right w:val="nil"/>
            </w:tcBorders>
            <w:shd w:val="clear"/>
            <w:vAlign w:val="top"/>
          </w:tcPr>
          <w:p>
            <w:pPr>
              <w:keepNext w:val="0"/>
              <w:keepLines w:val="0"/>
              <w:widowControl/>
              <w:suppressLineNumbers w:val="0"/>
              <w:spacing w:before="0" w:beforeAutospacing="0" w:after="0" w:afterAutospacing="0" w:line="300" w:lineRule="atLeast"/>
              <w:ind w:left="0" w:right="0"/>
              <w:jc w:val="left"/>
              <w:rPr>
                <w:rFonts w:hint="eastAsia" w:ascii="宋体" w:hAnsi="宋体" w:eastAsia="宋体" w:cs="宋体"/>
                <w:b/>
                <w:bCs/>
                <w:i w:val="0"/>
                <w:iCs w:val="0"/>
                <w:caps w:val="0"/>
                <w:color w:val="4B4B4B"/>
                <w:spacing w:val="0"/>
                <w:sz w:val="16"/>
                <w:szCs w:val="16"/>
              </w:rPr>
            </w:pPr>
            <w:r>
              <w:rPr>
                <w:rFonts w:hint="eastAsia" w:ascii="宋体" w:hAnsi="宋体" w:eastAsia="宋体" w:cs="宋体"/>
                <w:b/>
                <w:bCs/>
                <w:i w:val="0"/>
                <w:iCs w:val="0"/>
                <w:caps w:val="0"/>
                <w:color w:val="4B4B4B"/>
                <w:spacing w:val="0"/>
                <w:kern w:val="0"/>
                <w:sz w:val="16"/>
                <w:szCs w:val="16"/>
                <w:bdr w:val="none" w:color="auto" w:sz="0" w:space="0"/>
                <w:lang w:val="en-US" w:eastAsia="zh-CN" w:bidi="ar"/>
              </w:rPr>
              <w:t>发文字号：</w:t>
            </w:r>
          </w:p>
        </w:tc>
        <w:tc>
          <w:tcPr>
            <w:tcW w:w="0" w:type="auto"/>
            <w:tcBorders>
              <w:top w:val="nil"/>
              <w:left w:val="nil"/>
              <w:bottom w:val="nil"/>
              <w:right w:val="nil"/>
            </w:tcBorders>
            <w:shd w:val="clear"/>
            <w:vAlign w:val="top"/>
          </w:tcPr>
          <w:p>
            <w:pPr>
              <w:keepNext w:val="0"/>
              <w:keepLines w:val="0"/>
              <w:widowControl/>
              <w:suppressLineNumbers w:val="0"/>
              <w:spacing w:before="0" w:beforeAutospacing="0" w:after="0" w:afterAutospacing="0" w:line="300" w:lineRule="atLeast"/>
              <w:ind w:left="0" w:right="0"/>
              <w:jc w:val="left"/>
              <w:rPr>
                <w:rFonts w:hint="eastAsia" w:ascii="宋体" w:hAnsi="宋体" w:eastAsia="宋体" w:cs="宋体"/>
                <w:i w:val="0"/>
                <w:iCs w:val="0"/>
                <w:caps w:val="0"/>
                <w:color w:val="4B4B4B"/>
                <w:spacing w:val="0"/>
                <w:sz w:val="16"/>
                <w:szCs w:val="16"/>
              </w:rPr>
            </w:pPr>
            <w:r>
              <w:rPr>
                <w:rFonts w:hint="eastAsia" w:ascii="宋体" w:hAnsi="宋体" w:eastAsia="宋体" w:cs="宋体"/>
                <w:i w:val="0"/>
                <w:iCs w:val="0"/>
                <w:caps w:val="0"/>
                <w:color w:val="4B4B4B"/>
                <w:spacing w:val="0"/>
                <w:kern w:val="0"/>
                <w:sz w:val="16"/>
                <w:szCs w:val="16"/>
                <w:bdr w:val="none" w:color="auto" w:sz="0" w:space="0"/>
                <w:lang w:val="en-US" w:eastAsia="zh-CN" w:bidi="ar"/>
              </w:rPr>
              <w:t>教高函〔2019〕12号</w:t>
            </w:r>
          </w:p>
        </w:tc>
        <w:tc>
          <w:tcPr>
            <w:tcW w:w="960" w:type="dxa"/>
            <w:tcBorders>
              <w:top w:val="nil"/>
              <w:left w:val="nil"/>
              <w:bottom w:val="nil"/>
              <w:right w:val="nil"/>
            </w:tcBorders>
            <w:shd w:val="clear"/>
            <w:vAlign w:val="top"/>
          </w:tcPr>
          <w:p>
            <w:pPr>
              <w:keepNext w:val="0"/>
              <w:keepLines w:val="0"/>
              <w:widowControl/>
              <w:suppressLineNumbers w:val="0"/>
              <w:spacing w:before="0" w:beforeAutospacing="0" w:after="0" w:afterAutospacing="0" w:line="300" w:lineRule="atLeast"/>
              <w:ind w:left="0" w:right="0"/>
              <w:jc w:val="left"/>
              <w:rPr>
                <w:rFonts w:hint="eastAsia" w:ascii="宋体" w:hAnsi="宋体" w:eastAsia="宋体" w:cs="宋体"/>
                <w:b/>
                <w:bCs/>
                <w:i w:val="0"/>
                <w:iCs w:val="0"/>
                <w:caps w:val="0"/>
                <w:color w:val="4B4B4B"/>
                <w:spacing w:val="0"/>
                <w:sz w:val="16"/>
                <w:szCs w:val="16"/>
              </w:rPr>
            </w:pPr>
            <w:r>
              <w:rPr>
                <w:rFonts w:hint="eastAsia" w:ascii="宋体" w:hAnsi="宋体" w:eastAsia="宋体" w:cs="宋体"/>
                <w:b/>
                <w:bCs/>
                <w:i w:val="0"/>
                <w:iCs w:val="0"/>
                <w:caps w:val="0"/>
                <w:color w:val="4B4B4B"/>
                <w:spacing w:val="0"/>
                <w:kern w:val="0"/>
                <w:sz w:val="16"/>
                <w:szCs w:val="16"/>
                <w:bdr w:val="none" w:color="auto" w:sz="0" w:space="0"/>
                <w:lang w:val="en-US" w:eastAsia="zh-CN" w:bidi="ar"/>
              </w:rPr>
              <w:t>信息类别：</w:t>
            </w:r>
          </w:p>
        </w:tc>
        <w:tc>
          <w:tcPr>
            <w:tcW w:w="0" w:type="auto"/>
            <w:gridSpan w:val="3"/>
            <w:tcBorders>
              <w:top w:val="nil"/>
              <w:left w:val="nil"/>
              <w:bottom w:val="nil"/>
              <w:right w:val="nil"/>
            </w:tcBorders>
            <w:shd w:val="clear"/>
            <w:vAlign w:val="top"/>
          </w:tcPr>
          <w:p>
            <w:pPr>
              <w:keepNext w:val="0"/>
              <w:keepLines w:val="0"/>
              <w:widowControl/>
              <w:suppressLineNumbers w:val="0"/>
              <w:spacing w:before="0" w:beforeAutospacing="0" w:after="0" w:afterAutospacing="0" w:line="300" w:lineRule="atLeast"/>
              <w:ind w:left="0" w:right="0"/>
              <w:jc w:val="left"/>
              <w:rPr>
                <w:rFonts w:hint="eastAsia" w:ascii="宋体" w:hAnsi="宋体" w:eastAsia="宋体" w:cs="宋体"/>
                <w:i w:val="0"/>
                <w:iCs w:val="0"/>
                <w:caps w:val="0"/>
                <w:color w:val="4B4B4B"/>
                <w:spacing w:val="0"/>
                <w:sz w:val="16"/>
                <w:szCs w:val="16"/>
              </w:rPr>
            </w:pPr>
            <w:r>
              <w:rPr>
                <w:rFonts w:hint="eastAsia" w:ascii="宋体" w:hAnsi="宋体" w:eastAsia="宋体" w:cs="宋体"/>
                <w:i w:val="0"/>
                <w:iCs w:val="0"/>
                <w:caps w:val="0"/>
                <w:color w:val="4B4B4B"/>
                <w:spacing w:val="0"/>
                <w:kern w:val="0"/>
                <w:sz w:val="16"/>
                <w:szCs w:val="16"/>
                <w:bdr w:val="none" w:color="auto" w:sz="0" w:space="0"/>
                <w:lang w:val="en-US" w:eastAsia="zh-CN" w:bidi="ar"/>
              </w:rPr>
              <w:t>高等教育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60" w:type="dxa"/>
            <w:tcBorders>
              <w:top w:val="nil"/>
              <w:left w:val="nil"/>
              <w:bottom w:val="nil"/>
              <w:right w:val="nil"/>
            </w:tcBorders>
            <w:shd w:val="clear"/>
            <w:vAlign w:val="top"/>
          </w:tcPr>
          <w:p>
            <w:pPr>
              <w:keepNext w:val="0"/>
              <w:keepLines w:val="0"/>
              <w:widowControl/>
              <w:suppressLineNumbers w:val="0"/>
              <w:spacing w:before="0" w:beforeAutospacing="0" w:after="0" w:afterAutospacing="0" w:line="300" w:lineRule="atLeast"/>
              <w:ind w:left="0" w:right="0"/>
              <w:jc w:val="left"/>
              <w:rPr>
                <w:rFonts w:hint="eastAsia" w:ascii="宋体" w:hAnsi="宋体" w:eastAsia="宋体" w:cs="宋体"/>
                <w:b/>
                <w:bCs/>
                <w:i w:val="0"/>
                <w:iCs w:val="0"/>
                <w:caps w:val="0"/>
                <w:color w:val="4B4B4B"/>
                <w:spacing w:val="0"/>
                <w:sz w:val="16"/>
                <w:szCs w:val="16"/>
              </w:rPr>
            </w:pPr>
            <w:r>
              <w:rPr>
                <w:rFonts w:hint="eastAsia" w:ascii="宋体" w:hAnsi="宋体" w:eastAsia="宋体" w:cs="宋体"/>
                <w:b/>
                <w:bCs/>
                <w:i w:val="0"/>
                <w:iCs w:val="0"/>
                <w:caps w:val="0"/>
                <w:color w:val="4B4B4B"/>
                <w:spacing w:val="0"/>
                <w:kern w:val="0"/>
                <w:sz w:val="16"/>
                <w:szCs w:val="16"/>
                <w:bdr w:val="none" w:color="auto" w:sz="0" w:space="0"/>
                <w:lang w:val="en-US" w:eastAsia="zh-CN" w:bidi="ar"/>
              </w:rPr>
              <w:t>内容概述：</w:t>
            </w:r>
          </w:p>
        </w:tc>
        <w:tc>
          <w:tcPr>
            <w:tcW w:w="0" w:type="auto"/>
            <w:gridSpan w:val="5"/>
            <w:tcBorders>
              <w:top w:val="nil"/>
              <w:left w:val="nil"/>
              <w:bottom w:val="nil"/>
              <w:right w:val="nil"/>
            </w:tcBorders>
            <w:shd w:val="clear"/>
            <w:vAlign w:val="top"/>
          </w:tcPr>
          <w:p>
            <w:pPr>
              <w:keepNext w:val="0"/>
              <w:keepLines w:val="0"/>
              <w:widowControl/>
              <w:suppressLineNumbers w:val="0"/>
              <w:spacing w:before="0" w:beforeAutospacing="0" w:after="0" w:afterAutospacing="0" w:line="300" w:lineRule="atLeast"/>
              <w:ind w:left="0" w:right="0"/>
              <w:jc w:val="left"/>
              <w:rPr>
                <w:rFonts w:hint="eastAsia" w:ascii="宋体" w:hAnsi="宋体" w:eastAsia="宋体" w:cs="宋体"/>
                <w:i w:val="0"/>
                <w:iCs w:val="0"/>
                <w:caps w:val="0"/>
                <w:color w:val="4B4B4B"/>
                <w:spacing w:val="0"/>
                <w:sz w:val="16"/>
                <w:szCs w:val="16"/>
              </w:rPr>
            </w:pPr>
            <w:r>
              <w:rPr>
                <w:rFonts w:hint="eastAsia" w:ascii="宋体" w:hAnsi="宋体" w:eastAsia="宋体" w:cs="宋体"/>
                <w:i w:val="0"/>
                <w:iCs w:val="0"/>
                <w:caps w:val="0"/>
                <w:color w:val="4B4B4B"/>
                <w:spacing w:val="0"/>
                <w:kern w:val="0"/>
                <w:sz w:val="16"/>
                <w:szCs w:val="16"/>
                <w:bdr w:val="none" w:color="auto" w:sz="0" w:space="0"/>
                <w:lang w:val="en-US" w:eastAsia="zh-CN" w:bidi="ar"/>
              </w:rPr>
              <w:t>教育部发布《关于加强和规范普通本科高校实习管理工作的意见》。</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jc w:val="center"/>
        <w:rPr>
          <w:sz w:val="24"/>
          <w:szCs w:val="24"/>
        </w:rPr>
      </w:pPr>
      <w:r>
        <w:rPr>
          <w:i w:val="0"/>
          <w:iCs w:val="0"/>
          <w:caps w:val="0"/>
          <w:color w:val="4B4B4B"/>
          <w:spacing w:val="0"/>
          <w:sz w:val="24"/>
          <w:szCs w:val="24"/>
          <w:bdr w:val="none" w:color="auto" w:sz="0" w:space="0"/>
        </w:rPr>
        <w:t>教育部关于加强和规范普通本科高校实习</w:t>
      </w:r>
      <w:r>
        <w:rPr>
          <w:i w:val="0"/>
          <w:iCs w:val="0"/>
          <w:caps w:val="0"/>
          <w:color w:val="4B4B4B"/>
          <w:spacing w:val="0"/>
          <w:sz w:val="24"/>
          <w:szCs w:val="24"/>
          <w:bdr w:val="none" w:color="auto" w:sz="0" w:space="0"/>
        </w:rPr>
        <w:br w:type="textWrapping"/>
      </w:r>
      <w:r>
        <w:rPr>
          <w:i w:val="0"/>
          <w:iCs w:val="0"/>
          <w:caps w:val="0"/>
          <w:color w:val="4B4B4B"/>
          <w:spacing w:val="0"/>
          <w:sz w:val="24"/>
          <w:szCs w:val="24"/>
          <w:bdr w:val="none" w:color="auto" w:sz="0" w:space="0"/>
        </w:rPr>
        <w:t>管理工作的意见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jc w:val="right"/>
      </w:pPr>
      <w:bookmarkStart w:id="0" w:name="_GoBack"/>
      <w:bookmarkEnd w:id="0"/>
      <w:r>
        <w:rPr>
          <w:rFonts w:hint="eastAsia" w:ascii="微软雅黑" w:hAnsi="微软雅黑" w:eastAsia="微软雅黑" w:cs="微软雅黑"/>
          <w:i w:val="0"/>
          <w:iCs w:val="0"/>
          <w:caps w:val="0"/>
          <w:color w:val="4B4B4B"/>
          <w:spacing w:val="0"/>
          <w:sz w:val="19"/>
          <w:szCs w:val="19"/>
          <w:bdr w:val="none" w:color="auto" w:sz="0" w:space="0"/>
        </w:rPr>
        <w:t>教高函〔2019〕12号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加强大学生实践能力、创新精神和社会责任感的培养，是提高高等教育人才培养质量的重要内容。实习是高校实践教学的重要环节之一。近年来，在高校和政府机关、企事业单位和社会团体等用人单位共同努力下，产学研融合不断深入，大学生实习工作稳定开展、质量稳步提高。同时，部分高校对实习不够重视、实习经费投入不足、实习基地建设不规范、实习组织管理不到位等现象仍然存在，在一定程度上影响了人才培养质量整体提升。为进一步提高实习质量，切实维护学生、学校和实习单位的合法权益，现就加强和规范普通本科高校实习管理工作提出以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Style w:val="6"/>
          <w:rFonts w:hint="eastAsia" w:ascii="微软雅黑" w:hAnsi="微软雅黑" w:eastAsia="微软雅黑" w:cs="微软雅黑"/>
          <w:i w:val="0"/>
          <w:iCs w:val="0"/>
          <w:caps w:val="0"/>
          <w:color w:val="4B4B4B"/>
          <w:spacing w:val="0"/>
          <w:sz w:val="19"/>
          <w:szCs w:val="19"/>
          <w:bdr w:val="none" w:color="auto" w:sz="0" w:space="0"/>
        </w:rPr>
        <w:t>　　一、充分认识实习的意义和要求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充分认识实习的意义。实习是人才培养的重要组成部分，是深化课堂教学的重要环节，是学生了解社会、接触生产实际，获取、掌握生产现场相关知识的重要途径，在培养学生实践能力、创新精神，树立事业心、责任感等方面有着重要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准确把握新时代实习的要求。当前，新一轮科技革命和产业革命奔腾而至，正在迅速改变着生产模式和生活模式。以数字化、网络化、智能化、绿色化为代表的新型生产方式，对产业运营、人力资源组织管理提出了新的要求。高校必须坚持以本为本、落实四个回归，积极应变、主动求变，把实习摆在更加重要的位置，加强实习教学改革与研究，健全实习教学体系、规范实习安排、加强条件保障和组织管理，切实加强和规范实习工作，确保人才培养质量不断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Style w:val="6"/>
          <w:rFonts w:hint="eastAsia" w:ascii="微软雅黑" w:hAnsi="微软雅黑" w:eastAsia="微软雅黑" w:cs="微软雅黑"/>
          <w:i w:val="0"/>
          <w:iCs w:val="0"/>
          <w:caps w:val="0"/>
          <w:color w:val="4B4B4B"/>
          <w:spacing w:val="0"/>
          <w:sz w:val="19"/>
          <w:szCs w:val="19"/>
          <w:bdr w:val="none" w:color="auto" w:sz="0" w:space="0"/>
        </w:rPr>
        <w:t>　　二、规范实习教学安排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加强实习教学体系建设。高校要根据《普通高等学校本科专业类教学质量国家标准》和相关政策对实践教学的基本要求，结合专业特点和人才培养目标，系统设计实习教学体系，制定实习大纲，健全实习质量标准，科学安排实习内容。鼓励根据实习单位实际工作需求凝练实习项目，开展研究性实习，推动多专业知识能力交叉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合理安排实习组织形式。高校要根据专业特点和实习内容，确定实习的组织形式。各类实习原则上由学校统一组织，开展集中实习。根据专业特点，毕业实习、顶岗实习可以允许学生自行选择单位分散实习。对分散实习的学生，要严格实习基地条件、实习内容的审核，加强实习过程指导和管理，确保实习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5.科学制订实习方案。高校要根据实习内容，按照就地就近、相对稳定、节省经费的原则，选择专业对口、设施完备、技术先进、管理规范、符合安全生产等法律法规要求的单位进行实习。要打破理论教学固化安排，根据单位生产实际和接收能力，错峰灵活安排实习时间，合理确定实习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6.选好配强实习指导教师。高校和实习单位应当分别选派经验丰富、业务素质好、责任心强、安全防范意识高的教师和技术人员全程管理、指导学生实习。对自行选择单位分散实习的学生，也要安排校内教师跟踪指导。高校要根据实习教学指导和管理需要，合理确定校内指导教师与实习学生的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Style w:val="6"/>
          <w:rFonts w:hint="eastAsia" w:ascii="微软雅黑" w:hAnsi="微软雅黑" w:eastAsia="微软雅黑" w:cs="微软雅黑"/>
          <w:i w:val="0"/>
          <w:iCs w:val="0"/>
          <w:caps w:val="0"/>
          <w:color w:val="4B4B4B"/>
          <w:spacing w:val="0"/>
          <w:sz w:val="19"/>
          <w:szCs w:val="19"/>
          <w:bdr w:val="none" w:color="auto" w:sz="0" w:space="0"/>
        </w:rPr>
        <w:t>　　三、加强实习组织管理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7.抓好实习的组织实施。高校应当会同实习单位共同制订实习计划，明确实习目标、任务、考核标准等，共同组织实施学生实习。实习指导教师要做好实习学生的培训，现场跟踪指导学生实习工作，检查学生实习情况，及时处理实习中出现的问题，做好实习考核。严禁委托中介机构或者个人代为组织和管理学生实习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8.明晰各方的权利义务。高校在确定实习单位前须进行实地考察评估，确定满足实习条件后，应与实习单位签订合作协议，明确双方的权利、义务以及管理责任。未按规定签订合作协议的，不得安排学生实习。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9.加强学生教育管理。高校要做好学生的安全和纪律教育及日常管理。实习单位要做好学生的安全生产、职业道德教育。学生应当尊重实习指导教师和现场技术人员，遵守学校和实习单位的规章制度和劳动纪律，保守实习单位秘密，服从现场教育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10.做好学生权益保障。高校和实习企业要为学生提供必要的条件及安全健康的环境，不得安排学生到娱乐性场所实习，不得违规向学生收取费用，不得扣押学生财物和证件。实习前，高校应当为学生购买实习责任险或人身伤害意外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11.加强跟岗、顶岗实习管理。跟岗、顶岗实习是培养应用型人才必不可少的实践环节，各高校要科学组织，依法实施。严格学校、实习单位、学生三方实习协议的签订，明确各自的权利义务和责任。严格遵守工作时间和休息休假的规定，除临床医学等相关专业及实习岗位有特殊要求外，每天工作时间不得超过8小时、每周工作时间不得超过44小时，不得安排加班和夜班。要保障顶岗实习学生获得合理报酬的权益，劳动报酬原则上不低于相同岗位试用期工资标准的80%。要保障未成年人的合法权益，不得安排未满16周岁的学生顶岗实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Style w:val="6"/>
          <w:rFonts w:hint="eastAsia" w:ascii="微软雅黑" w:hAnsi="微软雅黑" w:eastAsia="微软雅黑" w:cs="微软雅黑"/>
          <w:i w:val="0"/>
          <w:iCs w:val="0"/>
          <w:caps w:val="0"/>
          <w:color w:val="4B4B4B"/>
          <w:spacing w:val="0"/>
          <w:sz w:val="19"/>
          <w:szCs w:val="19"/>
          <w:bdr w:val="none" w:color="auto" w:sz="0" w:space="0"/>
        </w:rPr>
        <w:t>　　四、强化实习组织保障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12.健全工作责任体系。高校是实习管理的主体，学校党政主要负责人是第一责任人，要负责建立实习运行保障体系。教务部门是实习管理的责任部门，要组织开展实习教学改革与研究，建立健全实习管理制度，明确相关部门工作职责和工作流程，做好实习工作的检查督导。各教学单位要会同实习单位落实管理责任，加强实习组织管理，做好安全及其它突发事件的风险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13.加强实习基地建设。高校要不断深化产教融合，大力推动实习基地建设，鼓励建设满足多专业实习需求的综合性、开放共享型实习基地。要加强实习基地质量建设，充分发挥国家级工程实践教育中心等高水平实习基地的示范引领作用，以国家级、省级一流专业建设带动一流实习基地建设。要结合实习基地条件和实习效果，对实习基地进行动态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14.推进实习信息化建设。支持有条件的省级教育行政部门和高校加强实习信息化建设，建立实习信息化管理平台，实现校企双方的实习需求信息对接，加强实习全过程管理。支持高校加强现代信息技术、虚拟仿真技术在实习中的应用，鼓励开发相应的虚拟仿真项目替代因生产技术、工艺流程等因素限制无法开展的现场实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15.加大实习经费投入。高校要加大实习经费投入，确保实习基本需求。要积极争取实习单位支持，降低实习成本，确保实习质量。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16.加强实习工作监管。省级教育行政部门要加强对高校实习工作的监管，重点监督高校本科生培养方案中实习环节设置是否科学合理、实习组织管理是否规范、学生安全和正当权益是否得到保障、实习经费是否充足、实习效果是否达到预定目标等。对实习工作扎实、实习教学改革与研究成效显著的高校予以表彰。对实习过程中存在的违规行为及时查处，对监管不力、问题频发、社会反响强烈的学校和地方，要约谈相关负责人，督促其落实主体责任，并在一定范围内进行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jc w:val="right"/>
      </w:pPr>
      <w:r>
        <w:rPr>
          <w:rFonts w:hint="eastAsia" w:ascii="微软雅黑" w:hAnsi="微软雅黑" w:eastAsia="微软雅黑" w:cs="微软雅黑"/>
          <w:i w:val="0"/>
          <w:iCs w:val="0"/>
          <w:caps w:val="0"/>
          <w:color w:val="4B4B4B"/>
          <w:spacing w:val="0"/>
          <w:sz w:val="19"/>
          <w:szCs w:val="19"/>
          <w:bdr w:val="none" w:color="auto" w:sz="0" w:space="0"/>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jc w:val="right"/>
      </w:pPr>
      <w:r>
        <w:rPr>
          <w:rFonts w:hint="eastAsia" w:ascii="微软雅黑" w:hAnsi="微软雅黑" w:eastAsia="微软雅黑" w:cs="微软雅黑"/>
          <w:i w:val="0"/>
          <w:iCs w:val="0"/>
          <w:caps w:val="0"/>
          <w:color w:val="4B4B4B"/>
          <w:spacing w:val="0"/>
          <w:sz w:val="19"/>
          <w:szCs w:val="19"/>
          <w:bdr w:val="none" w:color="auto" w:sz="0" w:space="0"/>
        </w:rPr>
        <w:t>2019年7月10日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TEyODFiNTkyYzlmMmU4MWI5NmU5Y2VhMmVjMjUifQ=="/>
  </w:docVars>
  <w:rsids>
    <w:rsidRoot w:val="00000000"/>
    <w:rsid w:val="3A010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2023-10-10T04:39:15Z</dcterms:created>
  <dc:creator>Administrator</dc:creator>
  <cp:lastModifiedBy>周君佐</cp:lastModifiedBy>
  <dcterms:modified xsi:type="dcterms:W3CDTF">2023-10-10T04:39:36Z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EA4F3477E75247A5A05AC5E605A00B39_12</vt:lpwstr>
  </property>
</Properties>
</file>