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jc w:val="center"/>
        <w:rPr>
          <w:rFonts w:hint="eastAsia" w:ascii="方正小标宋简体" w:hAnsi="仿宋" w:eastAsia="方正小标宋简体"/>
          <w:b/>
          <w:sz w:val="36"/>
          <w:szCs w:val="36"/>
        </w:rPr>
      </w:pPr>
      <w:r>
        <w:rPr>
          <w:rFonts w:hint="eastAsia" w:ascii="方正小标宋简体" w:hAnsi="仿宋" w:eastAsia="方正小标宋简体"/>
          <w:b/>
          <w:sz w:val="36"/>
          <w:szCs w:val="36"/>
        </w:rPr>
        <w:t>广东财经大学课外竞赛项目一览表</w:t>
      </w:r>
    </w:p>
    <w:tbl>
      <w:tblPr>
        <w:tblStyle w:val="7"/>
        <w:tblW w:w="923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2"/>
        <w:gridCol w:w="746"/>
        <w:gridCol w:w="4253"/>
        <w:gridCol w:w="35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blHeader/>
          <w:jc w:val="center"/>
        </w:trPr>
        <w:tc>
          <w:tcPr>
            <w:tcW w:w="73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序号</w:t>
            </w:r>
          </w:p>
        </w:tc>
        <w:tc>
          <w:tcPr>
            <w:tcW w:w="746" w:type="dxa"/>
            <w:tcBorders>
              <w:top w:val="single" w:color="000000" w:sz="6" w:space="0"/>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类别</w:t>
            </w:r>
          </w:p>
        </w:tc>
        <w:tc>
          <w:tcPr>
            <w:tcW w:w="4253" w:type="dxa"/>
            <w:tcBorders>
              <w:top w:val="single" w:color="000000" w:sz="6" w:space="0"/>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项目名称</w:t>
            </w:r>
          </w:p>
        </w:tc>
        <w:tc>
          <w:tcPr>
            <w:tcW w:w="3501" w:type="dxa"/>
            <w:tcBorders>
              <w:top w:val="single" w:color="000000" w:sz="6" w:space="0"/>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主办单位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1</w:t>
            </w:r>
          </w:p>
        </w:tc>
        <w:tc>
          <w:tcPr>
            <w:tcW w:w="746" w:type="dxa"/>
            <w:vMerge w:val="restart"/>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A1</w:t>
            </w:r>
            <w:r>
              <w:rPr>
                <w:rFonts w:hint="eastAsia" w:ascii="仿宋" w:hAnsi="仿宋" w:eastAsia="仿宋" w:cs="宋体"/>
                <w:color w:val="333333"/>
                <w:kern w:val="0"/>
                <w:sz w:val="24"/>
              </w:rPr>
              <w:t>类</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中国“互联网</w:t>
            </w:r>
            <w:r>
              <w:rPr>
                <w:rFonts w:hint="eastAsia" w:ascii="仿宋" w:hAnsi="仿宋" w:eastAsia="仿宋"/>
                <w:color w:val="333333"/>
                <w:kern w:val="0"/>
                <w:sz w:val="24"/>
              </w:rPr>
              <w:t>+</w:t>
            </w:r>
            <w:r>
              <w:rPr>
                <w:rFonts w:hint="eastAsia" w:ascii="仿宋" w:hAnsi="仿宋" w:eastAsia="仿宋" w:cs="宋体"/>
                <w:color w:val="333333"/>
                <w:kern w:val="0"/>
                <w:sz w:val="24"/>
              </w:rPr>
              <w:t>”大学生创新创业大赛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2</w:t>
            </w:r>
          </w:p>
        </w:tc>
        <w:tc>
          <w:tcPr>
            <w:tcW w:w="746" w:type="dxa"/>
            <w:vMerge w:val="continue"/>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“挑战杯”全国大学生课外学术科技作品竞赛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共青团中央、教育部等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3</w:t>
            </w:r>
          </w:p>
        </w:tc>
        <w:tc>
          <w:tcPr>
            <w:tcW w:w="746" w:type="dxa"/>
            <w:vMerge w:val="continue"/>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“创青春”全国大学生创业大赛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共青团中央、教育部等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4</w:t>
            </w:r>
          </w:p>
        </w:tc>
        <w:tc>
          <w:tcPr>
            <w:tcW w:w="746" w:type="dxa"/>
            <w:vMerge w:val="restart"/>
            <w:tcBorders>
              <w:top w:val="nil"/>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A2</w:t>
            </w:r>
            <w:r>
              <w:rPr>
                <w:rFonts w:hint="eastAsia" w:ascii="仿宋" w:hAnsi="仿宋" w:eastAsia="仿宋" w:cs="宋体"/>
                <w:color w:val="333333"/>
                <w:kern w:val="0"/>
                <w:sz w:val="24"/>
              </w:rPr>
              <w:t>类</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中国“互联网</w:t>
            </w:r>
            <w:r>
              <w:rPr>
                <w:rFonts w:hint="eastAsia" w:ascii="仿宋" w:hAnsi="仿宋" w:eastAsia="仿宋"/>
                <w:color w:val="333333"/>
                <w:kern w:val="0"/>
                <w:sz w:val="24"/>
              </w:rPr>
              <w:t>+</w:t>
            </w:r>
            <w:r>
              <w:rPr>
                <w:rFonts w:hint="eastAsia" w:ascii="仿宋" w:hAnsi="仿宋" w:eastAsia="仿宋" w:cs="宋体"/>
                <w:color w:val="333333"/>
                <w:kern w:val="0"/>
                <w:sz w:val="24"/>
              </w:rPr>
              <w:t>”大学生创新创业大赛广东省分赛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省教育厅等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“挑战杯”广东大学生课外学术科技作</w:t>
            </w:r>
            <w:bookmarkStart w:id="0" w:name="_GoBack"/>
            <w:bookmarkEnd w:id="0"/>
            <w:r>
              <w:rPr>
                <w:rFonts w:hint="eastAsia" w:ascii="仿宋" w:hAnsi="仿宋" w:eastAsia="仿宋" w:cs="宋体"/>
                <w:color w:val="333333"/>
                <w:kern w:val="0"/>
                <w:sz w:val="24"/>
              </w:rPr>
              <w:t>品竞赛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团省委、省教育厅等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w:t>
            </w:r>
          </w:p>
        </w:tc>
        <w:tc>
          <w:tcPr>
            <w:tcW w:w="746" w:type="dxa"/>
            <w:vMerge w:val="continue"/>
            <w:tcBorders>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“创青春”广东大学生创业大赛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团省委、省教育厅等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7</w:t>
            </w:r>
          </w:p>
        </w:tc>
        <w:tc>
          <w:tcPr>
            <w:tcW w:w="746" w:type="dxa"/>
            <w:vMerge w:val="restart"/>
            <w:tcBorders>
              <w:top w:val="nil"/>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hint="eastAsia" w:ascii="仿宋" w:hAnsi="仿宋" w:eastAsia="仿宋" w:cs="宋体"/>
                <w:color w:val="333333"/>
                <w:kern w:val="0"/>
                <w:sz w:val="24"/>
              </w:rPr>
            </w:pPr>
            <w:r>
              <w:rPr>
                <w:rFonts w:hint="eastAsia" w:ascii="仿宋" w:hAnsi="仿宋" w:eastAsia="仿宋"/>
                <w:color w:val="333333"/>
                <w:kern w:val="0"/>
                <w:sz w:val="24"/>
              </w:rPr>
              <w:t>B1</w:t>
            </w:r>
            <w:r>
              <w:rPr>
                <w:rFonts w:hint="eastAsia" w:ascii="仿宋" w:hAnsi="仿宋" w:eastAsia="仿宋" w:cs="宋体"/>
                <w:color w:val="333333"/>
                <w:kern w:val="0"/>
                <w:sz w:val="24"/>
              </w:rPr>
              <w:t>类</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全国大学生电子设计竞赛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教育部高等教育司、工业和信息化部人教司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ACM-ICPC</w:t>
            </w:r>
            <w:r>
              <w:rPr>
                <w:rFonts w:hint="eastAsia" w:ascii="仿宋" w:hAnsi="仿宋" w:eastAsia="仿宋" w:cs="宋体"/>
                <w:color w:val="333333"/>
                <w:kern w:val="0"/>
                <w:sz w:val="24"/>
              </w:rPr>
              <w:t>国际大学生程序设计竞赛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美国计算机协会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9</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中国大学生计算机设计大赛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教育部大学计算机课程教学指导委员会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10</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全国大学生数学建模竞赛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教育部高等教育司</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中国工业与应用数学学会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11</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中国大学生服务外包创新创业大赛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教育部、商务部等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12</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全国大学生物流设计大赛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教育部高等学校物流类专业教学指导委员会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13</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全国大学生电子商务创新、创意及创业挑战赛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教育部高等学校电子商务类专业教学指导委员会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14</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全国大学生市场调查与分析大赛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教育部高等学校统计学类专业教学指导委员会、中国商业统计学会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全国大学生广告艺术大赛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教育部高等学校新闻传播学类专业教学指导委员会、中国高等教育学会广告教育专业委员会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16</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“外研社杯”全国英语演讲大赛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外语教学与研究出版社、教育部高等学校大学外语教学指导委员会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17</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全国大学生节能减排社会实践与科技竞赛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教育部高等教育司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18</w:t>
            </w:r>
          </w:p>
        </w:tc>
        <w:tc>
          <w:tcPr>
            <w:tcW w:w="746" w:type="dxa"/>
            <w:tcBorders>
              <w:top w:val="single" w:color="auto" w:sz="4" w:space="0"/>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全国管理决策模拟大赛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教育部高等学校工商管理类专业教学指导委员会等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19</w:t>
            </w:r>
          </w:p>
        </w:tc>
        <w:tc>
          <w:tcPr>
            <w:tcW w:w="746" w:type="dxa"/>
            <w:vMerge w:val="restart"/>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B2类</w:t>
            </w:r>
          </w:p>
          <w:p>
            <w:pPr>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全国企业竞争模拟大赛暨全国</w:t>
            </w:r>
            <w:r>
              <w:rPr>
                <w:rFonts w:hint="eastAsia" w:ascii="仿宋" w:hAnsi="仿宋" w:eastAsia="仿宋"/>
                <w:color w:val="333333"/>
                <w:kern w:val="0"/>
                <w:sz w:val="24"/>
              </w:rPr>
              <w:t>MBA</w:t>
            </w:r>
            <w:r>
              <w:rPr>
                <w:rFonts w:hint="eastAsia" w:ascii="仿宋" w:hAnsi="仿宋" w:eastAsia="仿宋" w:cs="宋体"/>
                <w:color w:val="333333"/>
                <w:kern w:val="0"/>
                <w:sz w:val="24"/>
              </w:rPr>
              <w:t>培养院校企业竞争模拟大赛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全国工商管理专业学位研究生教育指导委员会等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20</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全国大学生创业综合模拟大赛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高等学校国家级实验教学示范中心联席会经济与管理学科组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21</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“尖烽时刻”全国商业模拟大赛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尖烽时刻组委会、教育部高等学校工商管理类专业教学指导委员会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22</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全国大学生人力资源管理知识技能竞赛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中国人力资源开发研究会知识技能竞赛理事会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23</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全国高等院校企业竞争模拟大赛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高等学校国家级实验教学示范中心联席会经管学科组、中国管理现代化研究会决策模拟专业委员会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24</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“智盛杯”全国大学生金融科技创新能力大赛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高等学校国家级实验教学示范中心联席会经济与管理学科组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“中金所杯”全国大学生金融知识大赛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中国金融期货交易所、中国期货业协会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26</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大学生金融理财挑战赛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国际金融理财标准委员会（中国）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27</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全国大学生金融精英挑战赛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共青团中央学校部、全国学联秘书处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28</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全国高校商业精英挑战赛国际贸易竞赛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中国国际贸易促进委员会商业行业委员会和中国国际商会商业行业商会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29</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全国高校企业价值创造实战竞赛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教育部会计学专业教学指导分委员会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30</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“福思特杯”全国大学生会计税务创新大赛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中国商业会计学会、中国高等教育学会高等财经教育分会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31</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中国MPAcc学生案例大赛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全国会计专业学位研究生教育指导委员会、教育部学位与研究生教育发展中心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32</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“福思特杯”全国大学生资产评估知识竞赛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全国资产评估高等教育实验教学研究会、广东省资产评估协会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33</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中国高校地理科学展示大赛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中国地理学会、中山大学地理科学与规划学院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34</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全国高校商业精英挑战赛会展创新实践竞赛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教育部高等学校经济与贸易类专业教学指导委员会、中国贸促会商业行业分会、中国国际商会商业行业商会、中国会展经济研究会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全国高等院校旅游创新策划大赛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中国旅游协会旅游教育分会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36</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“尖烽时刻”酒店管理模拟大赛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南开大学、芬兰CESIM公司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37</w:t>
            </w:r>
          </w:p>
        </w:tc>
        <w:tc>
          <w:tcPr>
            <w:tcW w:w="746" w:type="dxa"/>
            <w:vMerge w:val="restart"/>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B2类</w:t>
            </w:r>
          </w:p>
          <w:p>
            <w:pPr>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全国大学生城市管理竞赛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中国区域科学协会城市管理专业委员会、全国城市管理专业教学指导委员会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38</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中国文化贸易与文化双创大会</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中国国际贸易促进委员会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39</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全国大学生房地产策划大赛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中国建设教育协会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40</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中国研究生公共管理案例大赛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教育部学位与研究生教育发展中心、全国公共管理专业学位研究生教育指导委员会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41</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蓝桥杯软件创业大赛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工业和信息化部人才交流中心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42</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中国高校计算机大赛（C4）</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教育部高等学校计算机类专业教学指导委员会、软件工程专业教学指导委员会等联合主办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43</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中国大学生程序设计竞赛（CCPC）</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中国大学生程序设计竞赛协会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44</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全国大学生数学竞赛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中国数学会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auto" w:sz="4"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auto" w:sz="4"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全国大学生统计建模大赛</w:t>
            </w:r>
          </w:p>
        </w:tc>
        <w:tc>
          <w:tcPr>
            <w:tcW w:w="3501" w:type="dxa"/>
            <w:tcBorders>
              <w:top w:val="nil"/>
              <w:left w:val="nil"/>
              <w:bottom w:val="single" w:color="auto" w:sz="4"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教育部高等学校统计学类专业教学指导委员会、国务院学位办全国应用统计专业学位研究生教育指导委员会等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“外研社”杯全国商务英语实践大赛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教育部高等学校英语类专业教学指导分委员会、中国国际贸易学会国际商务英语研究委员会等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全国口译大赛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中国翻译协会、高等教育出版社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全国高校商务英语知识竞赛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教育部高等学校商务英语专业教学协作组、中国对外贸易经济合作企业协会高等教育出版社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“外研社杯”全国大学生英语辩论赛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团中央学校部、全国学联秘书处、北京外国语大学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50</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国际刑事法院中文模拟法庭比赛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国际法促进委员会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全国大学生模拟法庭竞赛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国家级实验教学示范中心法学组联席会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全国财经高校法律职业技能大赛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中国法学会法学教育研究会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中国大学生广告艺术节学院奖</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中国广告协会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社会主义核心价值观动画短片创作大赛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国家新闻出版广电总局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55</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中国高校游戏艺术设计大赛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全国高等院校计算机基础教育研究会主办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中国大学生原创动漫大赛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教育部高等学校动画、数字媒体专业教学指导委员会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57</w:t>
            </w:r>
          </w:p>
        </w:tc>
        <w:tc>
          <w:tcPr>
            <w:tcW w:w="746" w:type="dxa"/>
            <w:vMerge w:val="restart"/>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B2类</w:t>
            </w:r>
          </w:p>
          <w:p>
            <w:pPr>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全国高校数字艺术设计大赛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工业和信息化部人才交流中心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红星奖</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中国工业设计协会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全国大学生工业设计大赛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教育部高等学校工业设计专业教学指导分委员会、广东省教育厅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60</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全国大学生朗诵大会</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教育部语言文字应用管理司、中国传媒大学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中国国际动漫节声优大赛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中国国际动漫节组委会、浙江传媒学院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北京大学生电影节大学生主持人大赛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国家新闻出版广电总局 北京师范大学艺术与传媒学院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全国大学网络编辑创新大赛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中国编辑学会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秘书专业技能大赛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中国高等教育学会秘书学专业委员会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65</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“包商银行杯”全国高校文学作品大赛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作家网、人民文学杂志社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中国国际微电影节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中国文化产业发展研究中心、中国影视艺术协会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中国大学生微电影创作大赛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共青团中央学校部、中国传媒大学、中国电视艺术家协会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中国国际新媒体短片节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国家广播电视总局、深圳市人民政府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全国高校廉政文化作品征集暨廉洁教育系列活动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教育部办公厅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70</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中华辩论联赛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中华辩论联赛组委会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辩论黄金联赛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辩论黄金联赛组委会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世界华语辩论锦标赛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南京审计大学、思辨社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全国大学生运动会</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教育部、国家体育总局、共青团中央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全国大学生单项锦标赛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中国大学生体育协会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75</w:t>
            </w:r>
          </w:p>
        </w:tc>
        <w:tc>
          <w:tcPr>
            <w:tcW w:w="746" w:type="dxa"/>
            <w:vMerge w:val="continue"/>
            <w:tcBorders>
              <w:left w:val="single" w:color="auto" w:sz="4" w:space="0"/>
              <w:bottom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全国大学生艺术展演</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76</w:t>
            </w:r>
          </w:p>
        </w:tc>
        <w:tc>
          <w:tcPr>
            <w:tcW w:w="746" w:type="dxa"/>
            <w:vMerge w:val="restart"/>
            <w:tcBorders>
              <w:top w:val="single" w:color="auto" w:sz="4" w:space="0"/>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广东省高校法学辩论联赛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共青团广东省委员会、广东省学生联合会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上海研究生学术论坛——法律案例分析大赛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上海市学位办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广东省“南粤长城杯”演讲比赛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省委宣传部、省国防教育办、省教育厅、省人力资源和社会保障厅等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南粤大学生语言艺术节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ascii="仿宋" w:hAnsi="仿宋" w:eastAsia="仿宋" w:cs="宋体"/>
                <w:color w:val="333333"/>
                <w:kern w:val="0"/>
                <w:sz w:val="24"/>
              </w:rPr>
              <w:t>省委宣传部、省教育厅、省语言文字工作委员会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80</w:t>
            </w:r>
          </w:p>
        </w:tc>
        <w:tc>
          <w:tcPr>
            <w:tcW w:w="746" w:type="dxa"/>
            <w:vMerge w:val="restart"/>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C类</w:t>
            </w:r>
          </w:p>
          <w:p>
            <w:pPr>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中国南粤古驿道文化创意大赛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省住房城乡建设厅、省教育厅、省文化厅、省体育局、省旅游局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广东省“省长杯”工业设计大赛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广东省经济和信息化委员会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广东省文化创意设计大赛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广东省商业美术设计行业协会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广东省“联盟杯”本科高校英语写作大赛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广东省本科高校外语类专业教学指导委员会英语专业分委员会、广东省本科高校大学英语课程教学指导委员会等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广东省高校防范非法集资微视频和海报设计大赛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广东省地方金融监督管理局、广东省教育厅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85</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广东高校网络媒体展示节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b/>
                <w:color w:val="333333"/>
                <w:w w:val="90"/>
                <w:kern w:val="0"/>
                <w:sz w:val="24"/>
              </w:rPr>
            </w:pPr>
            <w:r>
              <w:rPr>
                <w:rFonts w:hint="eastAsia" w:ascii="仿宋" w:hAnsi="仿宋" w:eastAsia="仿宋" w:cs="宋体"/>
                <w:color w:val="333333"/>
                <w:w w:val="90"/>
                <w:kern w:val="0"/>
                <w:sz w:val="24"/>
              </w:rPr>
              <w:t>广东省师德主题征文及微视频征集活动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广东省大学生“学宪法讲宪法”演讲比赛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广东大中专学生校园科技学术节系列竞赛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团省委、教育厅、省科学技术厅、省科学技术协会、省学联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广东大中专学生校园文体艺术节系列竞赛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团省委、省教育厅、省文化和旅游厅、省体育局、省学联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90</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广东省“立志、修身、博学、报国”主题教育系列活动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广东省大学生职业规划大赛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广东省高校大学生心理素质提升系列大赛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广东省少数民族大学生能力提升—“爱在广东”主题教育比赛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广东省大学生艺术展演</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95</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广东省大学生舞蹈比赛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广东省大学生声乐比赛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广东省大学生器乐比赛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广东省大学生运动会</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广东省教育厅、省体育局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广东省大学生单项锦标赛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bl>
    <w:p>
      <w:pPr>
        <w:widowControl/>
        <w:shd w:val="clear" w:color="auto" w:fill="FFFFFF"/>
        <w:spacing w:line="315" w:lineRule="atLeast"/>
        <w:ind w:firstLine="120"/>
        <w:jc w:val="left"/>
        <w:rPr>
          <w:rFonts w:hint="eastAsia" w:eastAsiaTheme="minorEastAsia"/>
          <w:lang w:eastAsia="zh-CN"/>
        </w:rPr>
      </w:pPr>
      <w:r>
        <w:rPr>
          <w:rFonts w:hint="eastAsia" w:ascii="仿宋" w:hAnsi="仿宋" w:eastAsia="仿宋"/>
          <w:color w:val="333333"/>
          <w:kern w:val="0"/>
          <w:sz w:val="24"/>
        </w:rPr>
        <w:t>注：</w:t>
      </w:r>
      <w:r>
        <w:rPr>
          <w:rFonts w:hint="eastAsia" w:ascii="仿宋" w:hAnsi="仿宋" w:eastAsia="仿宋"/>
          <w:color w:val="333333"/>
          <w:kern w:val="0"/>
          <w:sz w:val="24"/>
          <w:lang w:val="en-US" w:eastAsia="zh-CN"/>
        </w:rPr>
        <w:t>此表来源于《广东财经大学教师指导课外活动与竞赛奖励办法（试行）》，</w:t>
      </w:r>
      <w:r>
        <w:rPr>
          <w:rFonts w:hint="eastAsia" w:ascii="仿宋" w:hAnsi="仿宋" w:eastAsia="仿宋"/>
          <w:color w:val="333333"/>
          <w:kern w:val="0"/>
          <w:sz w:val="24"/>
        </w:rPr>
        <w:t>项目目录根据国家和各主办单位及学校政策变化经学校教师指导课外活动与竞赛领导小组审议后定期更新。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tabs>
        <w:tab w:val="center" w:pos="4153"/>
        <w:tab w:val="right" w:pos="8306"/>
      </w:tabs>
      <w:snapToGrid w:val="0"/>
      <w:jc w:val="left"/>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YzcwOWZjMjBmZjE3ZGJiNmQ2NjBmMTFiMTYwYzcifQ=="/>
  </w:docVars>
  <w:rsids>
    <w:rsidRoot w:val="00661883"/>
    <w:rsid w:val="00010957"/>
    <w:rsid w:val="0006512D"/>
    <w:rsid w:val="000D7861"/>
    <w:rsid w:val="00141367"/>
    <w:rsid w:val="00141779"/>
    <w:rsid w:val="00142C71"/>
    <w:rsid w:val="00184625"/>
    <w:rsid w:val="00281E96"/>
    <w:rsid w:val="002833E8"/>
    <w:rsid w:val="002A6A25"/>
    <w:rsid w:val="002B7A0F"/>
    <w:rsid w:val="00336737"/>
    <w:rsid w:val="00336BC9"/>
    <w:rsid w:val="00390568"/>
    <w:rsid w:val="00393B21"/>
    <w:rsid w:val="003B78FD"/>
    <w:rsid w:val="003F6188"/>
    <w:rsid w:val="003F7A4E"/>
    <w:rsid w:val="00425191"/>
    <w:rsid w:val="004421D7"/>
    <w:rsid w:val="005061D0"/>
    <w:rsid w:val="00512597"/>
    <w:rsid w:val="005256FD"/>
    <w:rsid w:val="005356BE"/>
    <w:rsid w:val="00575B4E"/>
    <w:rsid w:val="0058719F"/>
    <w:rsid w:val="005F4CC8"/>
    <w:rsid w:val="006137B0"/>
    <w:rsid w:val="00616FA7"/>
    <w:rsid w:val="00645DD5"/>
    <w:rsid w:val="00661883"/>
    <w:rsid w:val="0066215C"/>
    <w:rsid w:val="00682D25"/>
    <w:rsid w:val="006B3DB3"/>
    <w:rsid w:val="006B7196"/>
    <w:rsid w:val="006D5FD0"/>
    <w:rsid w:val="006D6CF0"/>
    <w:rsid w:val="006E5D09"/>
    <w:rsid w:val="00712307"/>
    <w:rsid w:val="00754B63"/>
    <w:rsid w:val="007B5270"/>
    <w:rsid w:val="00817188"/>
    <w:rsid w:val="00835C86"/>
    <w:rsid w:val="008712DF"/>
    <w:rsid w:val="008C7816"/>
    <w:rsid w:val="00943EB9"/>
    <w:rsid w:val="00947BF2"/>
    <w:rsid w:val="00953ED5"/>
    <w:rsid w:val="00995BE9"/>
    <w:rsid w:val="009C63DE"/>
    <w:rsid w:val="009E7F35"/>
    <w:rsid w:val="00A9218C"/>
    <w:rsid w:val="00AB3DEC"/>
    <w:rsid w:val="00AE0CC7"/>
    <w:rsid w:val="00B0694B"/>
    <w:rsid w:val="00B320CF"/>
    <w:rsid w:val="00B5304A"/>
    <w:rsid w:val="00C107DF"/>
    <w:rsid w:val="00C160B4"/>
    <w:rsid w:val="00C22420"/>
    <w:rsid w:val="00C25085"/>
    <w:rsid w:val="00C42715"/>
    <w:rsid w:val="00C91D1A"/>
    <w:rsid w:val="00CA1AB4"/>
    <w:rsid w:val="00CE585F"/>
    <w:rsid w:val="00D205AF"/>
    <w:rsid w:val="00D66016"/>
    <w:rsid w:val="00D863CA"/>
    <w:rsid w:val="00D871B5"/>
    <w:rsid w:val="00DD01E8"/>
    <w:rsid w:val="00E24EAE"/>
    <w:rsid w:val="00E438B9"/>
    <w:rsid w:val="00EF491E"/>
    <w:rsid w:val="00FD0109"/>
    <w:rsid w:val="00FF6E4C"/>
    <w:rsid w:val="0ABB7B1D"/>
    <w:rsid w:val="24B9416F"/>
    <w:rsid w:val="342512F0"/>
    <w:rsid w:val="46345A2E"/>
    <w:rsid w:val="7A902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rPr>
      <w:rFonts w:ascii="Calibri" w:hAnsi="Calibri" w:eastAsia="宋体" w:cs="Times New Roman"/>
      <w:szCs w:val="22"/>
    </w:rPr>
  </w:style>
  <w:style w:type="paragraph" w:styleId="3">
    <w:name w:val="Balloon Text"/>
    <w:basedOn w:val="1"/>
    <w:link w:val="12"/>
    <w:semiHidden/>
    <w:unhideWhenUsed/>
    <w:qFormat/>
    <w:uiPriority w:val="99"/>
    <w:rPr>
      <w:rFonts w:ascii="Calibri" w:hAnsi="Calibri" w:eastAsia="宋体" w:cs="Times New Roman"/>
      <w:sz w:val="18"/>
      <w:szCs w:val="18"/>
    </w:rPr>
  </w:style>
  <w:style w:type="paragraph" w:styleId="4">
    <w:name w:val="footer"/>
    <w:basedOn w:val="1"/>
    <w:link w:val="1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2"/>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uiPriority w:val="99"/>
    <w:rPr>
      <w:rFonts w:ascii="Times New Roman" w:hAnsi="Times New Roman" w:eastAsia="宋体" w:cs="Times New Roman"/>
      <w:sz w:val="18"/>
      <w:szCs w:val="18"/>
    </w:rPr>
  </w:style>
  <w:style w:type="character" w:customStyle="1" w:styleId="11">
    <w:name w:val="日期 Char"/>
    <w:basedOn w:val="8"/>
    <w:link w:val="2"/>
    <w:semiHidden/>
    <w:uiPriority w:val="99"/>
    <w:rPr>
      <w:rFonts w:ascii="Calibri" w:hAnsi="Calibri" w:eastAsia="宋体" w:cs="Times New Roman"/>
      <w:szCs w:val="22"/>
    </w:rPr>
  </w:style>
  <w:style w:type="character" w:customStyle="1" w:styleId="12">
    <w:name w:val="批注框文本 Char"/>
    <w:basedOn w:val="8"/>
    <w:link w:val="3"/>
    <w:semiHidden/>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3292</Words>
  <Characters>3409</Characters>
  <Lines>0</Lines>
  <Paragraphs>0</Paragraphs>
  <TotalTime>139</TotalTime>
  <ScaleCrop>false</ScaleCrop>
  <LinksUpToDate>false</LinksUpToDate>
  <CharactersWithSpaces>3410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2022-11-03T07:35:00Z</dcterms:created>
  <dc:creator>admin</dc:creator>
  <cp:lastModifiedBy>艾米</cp:lastModifiedBy>
  <dcterms:modified xsi:type="dcterms:W3CDTF">2023-12-04T09:08:26Z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F666A564B56E4B2D80F56915A3905C60</vt:lpwstr>
  </property>
</Properties>
</file>