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28" w:rsidRPr="00E37028" w:rsidRDefault="00E37028" w:rsidP="00E37028">
      <w:pPr>
        <w:rPr>
          <w:rFonts w:ascii="黑体" w:eastAsia="黑体" w:hAnsi="黑体"/>
          <w:b/>
          <w:sz w:val="28"/>
          <w:szCs w:val="28"/>
        </w:rPr>
      </w:pPr>
      <w:r w:rsidRPr="00E37028">
        <w:rPr>
          <w:rFonts w:ascii="黑体" w:eastAsia="黑体" w:hAnsi="黑体" w:hint="eastAsia"/>
          <w:b/>
          <w:sz w:val="28"/>
          <w:szCs w:val="28"/>
        </w:rPr>
        <w:t>附件2</w:t>
      </w:r>
    </w:p>
    <w:p w:rsidR="000C68B1" w:rsidRPr="00E37028" w:rsidRDefault="000C68B1" w:rsidP="00112786">
      <w:pPr>
        <w:ind w:firstLineChars="1350" w:firstLine="3795"/>
        <w:rPr>
          <w:rFonts w:ascii="方正小标宋简体" w:eastAsia="方正小标宋简体"/>
          <w:b/>
          <w:sz w:val="28"/>
          <w:szCs w:val="28"/>
        </w:rPr>
      </w:pPr>
      <w:r w:rsidRPr="00E37028">
        <w:rPr>
          <w:rFonts w:ascii="方正小标宋简体" w:eastAsia="方正小标宋简体" w:hint="eastAsia"/>
          <w:b/>
          <w:sz w:val="28"/>
          <w:szCs w:val="28"/>
        </w:rPr>
        <w:t>20</w:t>
      </w:r>
      <w:r w:rsidR="00A84177" w:rsidRPr="00E37028">
        <w:rPr>
          <w:rFonts w:ascii="方正小标宋简体" w:eastAsia="方正小标宋简体" w:hint="eastAsia"/>
          <w:b/>
          <w:sz w:val="28"/>
          <w:szCs w:val="28"/>
        </w:rPr>
        <w:t>20</w:t>
      </w:r>
      <w:r w:rsidRPr="00E37028">
        <w:rPr>
          <w:rFonts w:ascii="方正小标宋简体" w:eastAsia="方正小标宋简体" w:hint="eastAsia"/>
          <w:b/>
          <w:sz w:val="28"/>
          <w:szCs w:val="28"/>
        </w:rPr>
        <w:t>级本科</w:t>
      </w:r>
      <w:r w:rsidR="00A84177" w:rsidRPr="00E37028">
        <w:rPr>
          <w:rFonts w:ascii="方正小标宋简体" w:eastAsia="方正小标宋简体" w:hint="eastAsia"/>
          <w:b/>
          <w:sz w:val="28"/>
          <w:szCs w:val="28"/>
        </w:rPr>
        <w:t>新</w:t>
      </w:r>
      <w:r w:rsidRPr="00E37028">
        <w:rPr>
          <w:rFonts w:ascii="方正小标宋简体" w:eastAsia="方正小标宋简体" w:hint="eastAsia"/>
          <w:b/>
          <w:sz w:val="28"/>
          <w:szCs w:val="28"/>
        </w:rPr>
        <w:t>生</w:t>
      </w:r>
      <w:r w:rsidR="00A84177" w:rsidRPr="00E37028">
        <w:rPr>
          <w:rFonts w:ascii="方正小标宋简体" w:eastAsia="方正小标宋简体" w:hint="eastAsia"/>
          <w:b/>
          <w:sz w:val="28"/>
          <w:szCs w:val="28"/>
        </w:rPr>
        <w:t>入学</w:t>
      </w:r>
      <w:r w:rsidRPr="00E37028">
        <w:rPr>
          <w:rFonts w:ascii="方正小标宋简体" w:eastAsia="方正小标宋简体" w:hint="eastAsia"/>
          <w:b/>
          <w:sz w:val="28"/>
          <w:szCs w:val="28"/>
        </w:rPr>
        <w:t>学业指导主要内容一览表</w:t>
      </w:r>
    </w:p>
    <w:tbl>
      <w:tblPr>
        <w:tblStyle w:val="a5"/>
        <w:tblW w:w="13423" w:type="dxa"/>
        <w:tblInd w:w="435" w:type="dxa"/>
        <w:tblLayout w:type="fixed"/>
        <w:tblLook w:val="04A0"/>
      </w:tblPr>
      <w:tblGrid>
        <w:gridCol w:w="807"/>
        <w:gridCol w:w="851"/>
        <w:gridCol w:w="1559"/>
        <w:gridCol w:w="2552"/>
        <w:gridCol w:w="7654"/>
      </w:tblGrid>
      <w:tr w:rsidR="000C68B1" w:rsidTr="00C83351">
        <w:trPr>
          <w:trHeight w:val="502"/>
          <w:tblHeader/>
        </w:trPr>
        <w:tc>
          <w:tcPr>
            <w:tcW w:w="807" w:type="dxa"/>
          </w:tcPr>
          <w:p w:rsidR="000C68B1" w:rsidRDefault="000C68B1" w:rsidP="00C8335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51" w:type="dxa"/>
          </w:tcPr>
          <w:p w:rsidR="000C68B1" w:rsidRDefault="000C68B1" w:rsidP="00C8335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559" w:type="dxa"/>
          </w:tcPr>
          <w:p w:rsidR="000C68B1" w:rsidRDefault="000C68B1" w:rsidP="00C83351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培训依据</w:t>
            </w:r>
          </w:p>
        </w:tc>
        <w:tc>
          <w:tcPr>
            <w:tcW w:w="2552" w:type="dxa"/>
          </w:tcPr>
          <w:p w:rsidR="000C68B1" w:rsidRDefault="000C68B1" w:rsidP="00C83351">
            <w:pPr>
              <w:ind w:firstLineChars="300" w:firstLine="72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基本内容</w:t>
            </w:r>
          </w:p>
        </w:tc>
        <w:tc>
          <w:tcPr>
            <w:tcW w:w="7654" w:type="dxa"/>
          </w:tcPr>
          <w:p w:rsidR="000C68B1" w:rsidRDefault="000C68B1" w:rsidP="00C83351">
            <w:pPr>
              <w:ind w:firstLineChars="835" w:firstLine="201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特别说明和</w:t>
            </w:r>
            <w:r>
              <w:rPr>
                <w:b/>
                <w:sz w:val="24"/>
                <w:szCs w:val="24"/>
              </w:rPr>
              <w:t>注意事项</w:t>
            </w:r>
          </w:p>
        </w:tc>
      </w:tr>
      <w:tr w:rsidR="000C68B1" w:rsidTr="00C83351">
        <w:trPr>
          <w:trHeight w:val="1544"/>
        </w:trPr>
        <w:tc>
          <w:tcPr>
            <w:tcW w:w="807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人才培养方案</w:t>
            </w:r>
          </w:p>
        </w:tc>
        <w:tc>
          <w:tcPr>
            <w:tcW w:w="1559" w:type="dxa"/>
          </w:tcPr>
          <w:p w:rsidR="000C68B1" w:rsidRPr="005E3100" w:rsidRDefault="000C68B1" w:rsidP="00A8417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="005E3100"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 w:rsidR="00A8417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版本科人才培养方案》</w:t>
            </w:r>
            <w:r w:rsidR="005E20B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（可于教务处网页下载）</w:t>
            </w: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1.修读要求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2.课程体系架构</w:t>
            </w:r>
          </w:p>
          <w:p w:rsidR="000C68B1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3.开课方式（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按设置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学期开课、按学期滚动开课、按学年滚动开课）</w:t>
            </w:r>
          </w:p>
          <w:p w:rsidR="005E20BD" w:rsidRPr="005E3100" w:rsidRDefault="005E20BD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</w:tcPr>
          <w:p w:rsidR="000C68B1" w:rsidRPr="005E3100" w:rsidRDefault="00A913C6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</w:t>
            </w:r>
            <w:r w:rsidR="000C68B1"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学生应按培养方案规定的学分要求、参照建议修读学期修读各模块课程。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2.学生要了解通识选修课修读要求，并定期按照《</w:t>
            </w:r>
            <w:hyperlink r:id="rId6" w:history="1">
              <w:r w:rsidRPr="005E3100">
                <w:rPr>
                  <w:rFonts w:ascii="仿宋" w:eastAsia="仿宋" w:hAnsi="仿宋" w:hint="eastAsia"/>
                  <w:color w:val="000000"/>
                  <w:sz w:val="24"/>
                  <w:szCs w:val="24"/>
                </w:rPr>
                <w:t>广东财经大学20</w:t>
              </w:r>
              <w:r w:rsidR="005E20BD">
                <w:rPr>
                  <w:rFonts w:ascii="仿宋" w:eastAsia="仿宋" w:hAnsi="仿宋" w:hint="eastAsia"/>
                  <w:color w:val="000000"/>
                  <w:sz w:val="24"/>
                  <w:szCs w:val="24"/>
                </w:rPr>
                <w:t>20</w:t>
              </w:r>
              <w:r w:rsidRPr="005E3100">
                <w:rPr>
                  <w:rFonts w:ascii="仿宋" w:eastAsia="仿宋" w:hAnsi="仿宋" w:hint="eastAsia"/>
                  <w:color w:val="000000"/>
                  <w:sz w:val="24"/>
                  <w:szCs w:val="24"/>
                </w:rPr>
                <w:t>版通识选修课程设置一览表</w:t>
              </w:r>
            </w:hyperlink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》检查各模块已修学分情况。</w:t>
            </w:r>
          </w:p>
          <w:p w:rsidR="000C68B1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3.学生要定期计算已修学分（总学分及各模块学分），对照毕业要求制定选课计划，确保如期完成学业。</w:t>
            </w:r>
          </w:p>
          <w:p w:rsidR="005E20BD" w:rsidRPr="005E3100" w:rsidRDefault="005E20BD" w:rsidP="005E20B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4.选课时要认真查看培养方案，所选课程代码、名称、学分、性质必须与培养方案一致。</w:t>
            </w:r>
          </w:p>
        </w:tc>
      </w:tr>
      <w:tr w:rsidR="000C68B1" w:rsidTr="005E3100">
        <w:trPr>
          <w:trHeight w:val="894"/>
        </w:trPr>
        <w:tc>
          <w:tcPr>
            <w:tcW w:w="807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学生修读课程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《广东财经大学普教本科课程修读管理规定》</w:t>
            </w: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1.课程。必修课、选修课、辅修专业课程；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2.课程修读。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3.选课，选课的程序，选课规则，选课学分限制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4.免听。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免听的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条件、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免听办理</w:t>
            </w:r>
            <w:proofErr w:type="gramEnd"/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5.免修与课程替代。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6.学分认定与转换。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1.补考。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初次修读的课程考核不合格，必修课程须参加补考；选修课程考核不合格的可参加补考，也可选择重修该门课程或另选其他选修课程；跨专业综合实验课程（《ERP软件II》、《企业行为模拟》和《校内仿真综合实习》）和不安排期末考试环节的课程不安排补考须直接重修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2.重修。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重修课程考核不合格的不再安排补考，可再次重修。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3.主修选课和辅修选课同时进行选课，每学期合计不超过38个学分。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4.前一个学期考核不合格课程达到或超过6个学分的，当学期选课不允许超过20个学分。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5.有先修后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修关系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的课程，学生原则上应按先修后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修关系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循序选课。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免听申请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时间为：每学期第一、二周。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免听限制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：综合运用类课程、初次修读的必修课程和任课教师认为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宜免听的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课程，不得免听；一个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学期免听的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课程累计不得超过3门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8.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获准免听的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课程考核，有期末考试环节的，以期末考试成绩核定总评成绩（不计平时考核成绩）；无期末考试环节的，由任课教师制定考核方案，经课程所在单位审核同意后执行。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9.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免修、课程替代申请办理时间为13-14周</w:t>
            </w:r>
            <w:r w:rsidR="00E864F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，学生可在信息门户线上申请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</w:tc>
      </w:tr>
      <w:tr w:rsidR="000C68B1" w:rsidTr="00C83351">
        <w:tc>
          <w:tcPr>
            <w:tcW w:w="807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0C68B1" w:rsidRPr="005E3100" w:rsidRDefault="000C68B1" w:rsidP="00C8335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选课规则</w:t>
            </w:r>
          </w:p>
          <w:p w:rsidR="000C68B1" w:rsidRPr="005E3100" w:rsidRDefault="000C68B1" w:rsidP="00C83351">
            <w:pPr>
              <w:widowControl/>
              <w:spacing w:after="200"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《广东财经大学普教本科选课规则》</w:t>
            </w: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1.总则。选课资格的获取、选课轮次设置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2.选课学分和门数。学分限制、门数限制。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优先级设置。修读优先级、志愿优先级、筛选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4. 第一轮选课。选课对象、选课规定、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筛选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5.附则。201</w:t>
            </w:r>
            <w:r w:rsidR="005E3100"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年学生与201</w:t>
            </w:r>
            <w:r w:rsidR="005E3100"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-201</w:t>
            </w:r>
            <w:r w:rsidR="005E3100"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级学生选课要求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1.选课资格的获取：缴费、注册、学生网上评教。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2.学分限制。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3.门数限制。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《思想道德修养与法律基础》、《马克思主义基本原理》、《毛泽东思想和中国特色社会主义理论体系概论I》、《毛泽东思想和中国特色社会主义理论体系概论II》和《中国近现代史纲要》5门课程（</w:t>
            </w:r>
            <w:proofErr w:type="gramStart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简称思政5门</w:t>
            </w:r>
            <w:proofErr w:type="gramEnd"/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课程），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每个学期开课总学位数为学生人数的5/6（即每个学期有1/6选不到此5门课程），</w:t>
            </w:r>
            <w:r w:rsidRPr="005E31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一、二年级每学期选课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上限为1门，学生须合理选课，否则容易导致某学期选不上思政课。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4. 第一、二轮选课设置筛选优先级，第三轮所有课程选课均不设置优先级。学生应熟悉每一轮的选课规则和筛选规则。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5.修读优先级是：按建议修读学期主修选课的学生&gt;按建议修读学期辅修选课或高年级重修选课的学生&gt;其他学生。</w:t>
            </w:r>
            <w:r w:rsidRPr="005E3100">
              <w:rPr>
                <w:rFonts w:ascii="仿宋" w:eastAsia="仿宋" w:hAnsi="仿宋" w:hint="eastAsia"/>
                <w:b/>
                <w:sz w:val="24"/>
                <w:szCs w:val="24"/>
              </w:rPr>
              <w:t>指导学生按建议修读学期选课。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6.志愿优先级是：第1志愿&gt;第2志愿&gt;第3志愿。每门课程选课时可填报三个志愿（即三个教学班），指导学生填报选课志愿时，要冷热结合，避免都选热门教学班，导致无法选到按建议修读学期的课程。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7.第一轮选课注意事项：（1）本轮不接受学生跨学科、跨专业选课;（2）本轮选课结束后，学校将根据学生选课需求、教师意愿和教</w:t>
            </w:r>
            <w:r w:rsidRPr="005E3100"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室资源状况</w:t>
            </w:r>
            <w:r w:rsidRPr="005E3100"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决定是否增加教学班容量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;（</w:t>
            </w:r>
            <w:r w:rsidRPr="005E3100"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3）</w:t>
            </w:r>
            <w:r w:rsidRPr="005E3100"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本轮选课不限容量，</w:t>
            </w:r>
            <w:r w:rsidRPr="005E3100"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当某</w:t>
            </w:r>
            <w:proofErr w:type="gramStart"/>
            <w:r w:rsidRPr="005E3100"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一教学</w:t>
            </w:r>
            <w:proofErr w:type="gramEnd"/>
            <w:r w:rsidRPr="005E3100"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班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选课人数超过教学班容量时，按选课规则中的原则进行筛选。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8.第二轮选课注意事项：（1）选课对象为所有学生;（2）本轮选课仅限于第一轮筛选后仍有余量的教学班;（3）本轮选课不再增加教学班容量;（4）本轮选课不限容量，当某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一教学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班选课人数超过教学班余量时，按选课规则规定的原则进行筛选;（5）本轮选课结束后，选课人数未达到开班人数的教学班将被关班。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9.第三轮选课注意事项：（1）本轮选课先选先得;（2）每学期第一、第二周为试听周，学生可以根据试听情况自行调整选课;（3）教学周少于16周的课程不安排试听（含新生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第一学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期修读的课程）。</w:t>
            </w:r>
          </w:p>
        </w:tc>
      </w:tr>
      <w:tr w:rsidR="000C68B1" w:rsidTr="00C83351">
        <w:tc>
          <w:tcPr>
            <w:tcW w:w="807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考试管 理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68B1" w:rsidRPr="005E3100" w:rsidRDefault="000C68B1" w:rsidP="00C8335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《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广东财经大学普教本科课程考核</w:t>
            </w:r>
          </w:p>
          <w:p w:rsidR="000C68B1" w:rsidRPr="005E3100" w:rsidRDefault="000C68B1" w:rsidP="00C8335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管理规定（试行）》</w:t>
            </w:r>
          </w:p>
          <w:p w:rsidR="000C68B1" w:rsidRPr="005E3100" w:rsidRDefault="000C68B1" w:rsidP="00C8335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C68B1" w:rsidRPr="005E3100" w:rsidRDefault="000C68B1" w:rsidP="00C8335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1.考试资格</w:t>
            </w:r>
          </w:p>
          <w:p w:rsidR="000C68B1" w:rsidRPr="005E3100" w:rsidRDefault="000C68B1" w:rsidP="00C83351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2.缓</w:t>
            </w:r>
            <w:proofErr w:type="gramStart"/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考办理</w:t>
            </w:r>
            <w:proofErr w:type="gramEnd"/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条件及程序</w:t>
            </w:r>
          </w:p>
          <w:p w:rsidR="000C68B1" w:rsidRPr="005E3100" w:rsidRDefault="000C68B1" w:rsidP="00C83351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3.补考与重修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1. 考试资格。获得修读资格、出勤和完成作业情况达到规定要求的学生，均可参加课程考试。缺课超过总学时1/3（含1/3）或缺交作业超过1/3（含1/3）者，取消该门课程考试资格，</w:t>
            </w:r>
            <w:proofErr w:type="gramStart"/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获准免听的</w:t>
            </w:r>
            <w:proofErr w:type="gramEnd"/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课程除外。</w:t>
            </w:r>
          </w:p>
          <w:p w:rsidR="000C68B1" w:rsidRPr="005E3100" w:rsidRDefault="000C68B1" w:rsidP="00C8335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2. 缓</w:t>
            </w:r>
            <w:proofErr w:type="gramStart"/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考办</w:t>
            </w:r>
            <w:bookmarkStart w:id="0" w:name="_GoBack"/>
            <w:bookmarkEnd w:id="0"/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理</w:t>
            </w:r>
            <w:proofErr w:type="gramEnd"/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条件及程序。学生因考试时间冲突、生病等原因不能参加期末考试的，可申请缓考。补考和已获准缓考的课程原则上不得再申请缓考。学生须在考前提交《广东财经大学普教本科课程缓考申请表》（附件4），经任课教师和学生所在学院审核同意后准予缓考。如因突发情况无法提前申请，必须在考后2日内提交申请，逾期不再受理。缓考学生在次学期补考时间参加考试。缓考不及格的，不再安排补考。</w:t>
            </w:r>
          </w:p>
          <w:p w:rsidR="000C68B1" w:rsidRPr="005E3100" w:rsidRDefault="000C68B1" w:rsidP="00C8335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3.补考与重修。初次修读的课程考试不合格，必修课程必须参加补考，补考仍不及格的课程，可在次学期或以后学期重修；但按规定只能重修的必修课程，学生只能重修，比如，跨专业综合实验课程（《ERP软件II》、《企业行为模拟》和《校内仿真综合实习》）和不安排期末考试环节的课程不安排补考须直接重修。</w:t>
            </w:r>
          </w:p>
          <w:p w:rsidR="000C68B1" w:rsidRPr="005E3100" w:rsidRDefault="000C68B1" w:rsidP="00C8335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选修课程考试不合格的可参加补考，也可选择重修该门课程或另选其他选修课程。 重修课程考试不合格的不再安排补考，可再次重修。</w:t>
            </w:r>
          </w:p>
          <w:p w:rsidR="000C68B1" w:rsidRPr="005E3100" w:rsidRDefault="000C68B1" w:rsidP="00C8335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5E3100">
              <w:rPr>
                <w:rFonts w:ascii="仿宋" w:eastAsia="仿宋" w:hAnsi="仿宋" w:cs="仿宋" w:hint="eastAsia"/>
                <w:sz w:val="24"/>
                <w:szCs w:val="24"/>
              </w:rPr>
              <w:t>补（缓）考总评成绩由平时成绩和考试卷面成绩构成。补考、重修课程按实际成绩折算绩点，但在相应成绩记载栏中作补考、重修标识。</w:t>
            </w:r>
          </w:p>
        </w:tc>
      </w:tr>
      <w:tr w:rsidR="000C68B1" w:rsidTr="00C83351">
        <w:tc>
          <w:tcPr>
            <w:tcW w:w="807" w:type="dxa"/>
            <w:vMerge w:val="restart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vMerge w:val="restart"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E3100">
              <w:rPr>
                <w:rFonts w:ascii="仿宋" w:eastAsia="仿宋" w:hAnsi="仿宋" w:cs="Times New Roman" w:hint="eastAsia"/>
                <w:sz w:val="24"/>
                <w:szCs w:val="24"/>
              </w:rPr>
              <w:t>学籍管 理</w:t>
            </w:r>
          </w:p>
        </w:tc>
        <w:tc>
          <w:tcPr>
            <w:tcW w:w="1559" w:type="dxa"/>
            <w:vMerge w:val="restart"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E3100">
              <w:rPr>
                <w:rFonts w:ascii="仿宋" w:eastAsia="仿宋" w:hAnsi="仿宋" w:cs="Times New Roman" w:hint="eastAsia"/>
                <w:sz w:val="24"/>
                <w:szCs w:val="24"/>
              </w:rPr>
              <w:t>《广东财经大学普教本科生学籍管理规定（试行）》</w:t>
            </w: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注册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每学期开学时，应办理注册手续，不能如期注册者，应办理暂缓注册手续。</w:t>
            </w:r>
          </w:p>
        </w:tc>
      </w:tr>
      <w:tr w:rsidR="000C68B1" w:rsidTr="00C83351">
        <w:tc>
          <w:tcPr>
            <w:tcW w:w="807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学制、学习年限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在校基本学习年限为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4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学年，在基本学习年限内未能达到毕业要求者，可继续在校学习，最长为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7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学年，超过此年限者，不予注册。</w:t>
            </w:r>
          </w:p>
        </w:tc>
      </w:tr>
      <w:tr w:rsidR="000C68B1" w:rsidTr="00C83351">
        <w:tc>
          <w:tcPr>
            <w:tcW w:w="807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3.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辅修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辅修以自愿为原则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,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在第二学期提出申请，第三学期开始修读，辅修选课与主修选课同时进行。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修满辅修专业人才培养方案规定的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45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学分，达到授予辅修专业学士学位条件者，授予辅修专业学士学位；修满辅修专业人才培养方案规定的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30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学分，达到颁发辅修专业证书者，颁发辅修专业证书。</w:t>
            </w:r>
          </w:p>
        </w:tc>
      </w:tr>
      <w:tr w:rsidR="000C68B1" w:rsidTr="00C83351">
        <w:tc>
          <w:tcPr>
            <w:tcW w:w="807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4.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转专业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具备以下条件之一者，可以申请调转专业：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确有拟转入专业的特长和兴趣，转专业更能发挥其专长；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有某种疾病或生理缺陷（不含隐瞒既往病史入学者），经校门诊部检查证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明确属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不宜在原专业学习，但尚能在拟转入专业学习者；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3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第一学年累计平均学分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绩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点在同年级、同专业排名前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40%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者；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4.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通过实验区遴选且需要转专业者；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5.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大学生士兵退役复学或入学者。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有下列情形之一者，不允许调转专业：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招生时已有明确规定不能转专业的学生，含定向生和国防生等；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招生时有特殊要求的提前批次录取学生；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3.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已修满人才培养方案规定总学分的三分之二及以上的学生；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lastRenderedPageBreak/>
              <w:t>4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休学、保留学籍等学籍状况异常的学生；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5.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已调转过一次专业的学生原则上不得再次调转专业；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6.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高考低分录取专业的学生原则上不得转入高考高分录取专业（实验区遴选和专业二次调整等除外）。</w:t>
            </w:r>
          </w:p>
        </w:tc>
      </w:tr>
      <w:tr w:rsidR="000C68B1" w:rsidTr="00C83351">
        <w:trPr>
          <w:trHeight w:val="472"/>
        </w:trPr>
        <w:tc>
          <w:tcPr>
            <w:tcW w:w="807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5.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休学、复学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有下列情形之一者，应予休学：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1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）经二级甲等及以上医院或校门诊部诊断，因病需停课，时间超过六周（含六周）的；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2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）一学期累计缺课达到该学期总学时三分之一的；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3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）学生怀孕、生育，暂时不适宜继续在校学习、生活的；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4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）经学校批准休学创业的；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5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）因其他特殊原因，学生本人申请或学校认为必须休学的。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 xml:space="preserve">2. 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休学时间以学期为单位，累计不得超过三学年。休学办理时间为每学期第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1-2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周和第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17-18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周，因病休学等特殊情况除外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.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3.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休学期满，应在学期开学注册时持休学通知书申请复学。</w:t>
            </w:r>
          </w:p>
        </w:tc>
      </w:tr>
      <w:tr w:rsidR="000C68B1" w:rsidTr="00C83351">
        <w:tc>
          <w:tcPr>
            <w:tcW w:w="807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6.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退学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有下列情形之一者，应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予退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学：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不论何种原因，在学校规定的学习年限内未完成学业的；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休学期满，在学校规定期限内未提出复学申请或申请复学经复查不合格的；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3.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经学校指定医院诊断，患有疾病或意外伤残无法继续在校学习的；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4.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未请假离校连续两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周未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参加学校规定的教学活动的；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5.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超过学校规定期限未注册而又无正当事由的；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6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本人申请退学的。</w:t>
            </w:r>
          </w:p>
        </w:tc>
      </w:tr>
      <w:tr w:rsidR="000C68B1" w:rsidTr="00C83351">
        <w:tc>
          <w:tcPr>
            <w:tcW w:w="807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7.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毕业、结业与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肆业</w:t>
            </w:r>
            <w:proofErr w:type="gramEnd"/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每学期开展一次毕业审核和学位授予工作。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要求毕业者，应在毕业当学期提出申请。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lastRenderedPageBreak/>
              <w:t>3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在学校规定的学习年限内修完人才培养方案规定的全部课程，修满规定的学分，考核结果达到毕业要求，经所在学院审核和学校批准，颁发毕业证书。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4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．要求结业者，应提出申请，申请时要求已获学分和在修学分合计应达到应修总学分的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80%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5.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学生在学校规定的学习年限内，修完人才培养方案规定内容，未达到毕业要求，但已获得总学分达到人才培养方案规定应修总学分的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80%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，由学校颁发结业证书。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 xml:space="preserve">6. 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学生学习一年以上（含一年），未达到结业要求，可申请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肄业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，经批准颁发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肄业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证书。退</w:t>
            </w:r>
            <w:r w:rsidR="00A36515">
              <w:rPr>
                <w:rFonts w:ascii="仿宋" w:eastAsia="仿宋" w:hAnsi="仿宋" w:hint="eastAsia"/>
                <w:sz w:val="24"/>
                <w:szCs w:val="24"/>
              </w:rPr>
              <w:t>学的学生，学习时间满一年以上者（含一年），经申请可办理肄业证书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0C68B1" w:rsidTr="00C83351">
        <w:trPr>
          <w:trHeight w:val="755"/>
        </w:trPr>
        <w:tc>
          <w:tcPr>
            <w:tcW w:w="807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8.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获准毕业的学生符合学位授予条件，授予学士学位。毕业不授予，毕业后一律不授予。</w:t>
            </w:r>
          </w:p>
        </w:tc>
      </w:tr>
      <w:tr w:rsidR="000C68B1" w:rsidTr="00C83351">
        <w:tc>
          <w:tcPr>
            <w:tcW w:w="807" w:type="dxa"/>
            <w:vMerge w:val="restart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E3100">
              <w:rPr>
                <w:rFonts w:ascii="仿宋" w:eastAsia="仿宋" w:hAnsi="仿宋" w:cs="仿宋_GB2312" w:hint="eastAsia"/>
                <w:sz w:val="24"/>
                <w:szCs w:val="24"/>
              </w:rPr>
              <w:t>学生成 绩</w:t>
            </w:r>
          </w:p>
        </w:tc>
        <w:tc>
          <w:tcPr>
            <w:tcW w:w="1559" w:type="dxa"/>
            <w:vMerge w:val="restart"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E3100">
              <w:rPr>
                <w:rFonts w:ascii="仿宋" w:eastAsia="仿宋" w:hAnsi="仿宋" w:cs="仿宋_GB2312" w:hint="eastAsia"/>
                <w:sz w:val="24"/>
                <w:szCs w:val="24"/>
              </w:rPr>
              <w:t>《广东财经大学普教本科生学籍管理规定（试行）》、《广东财经大学普教本科课程管理规定（试行）》</w:t>
            </w: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成绩构成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成绩由平时成绩和卷面成绩构成。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2016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级及以后同学补（缓）考成绩由平时成绩和卷面成绩构成，补考和重修按实际成绩折算绩点，在相应成绩栏中做重修补考标记。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B1" w:rsidTr="00C83351">
        <w:tc>
          <w:tcPr>
            <w:tcW w:w="807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68B1" w:rsidRPr="005E3100" w:rsidRDefault="000C68B1" w:rsidP="00C8335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绩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点计算方法</w:t>
            </w:r>
          </w:p>
          <w:p w:rsidR="000C68B1" w:rsidRPr="005E3100" w:rsidRDefault="000C68B1" w:rsidP="00C83351">
            <w:pPr>
              <w:ind w:firstLineChars="311" w:firstLine="746"/>
              <w:rPr>
                <w:rFonts w:ascii="仿宋" w:eastAsia="仿宋" w:hAnsi="仿宋"/>
                <w:sz w:val="24"/>
                <w:szCs w:val="24"/>
              </w:rPr>
            </w:pPr>
          </w:p>
          <w:p w:rsidR="000C68B1" w:rsidRPr="005E3100" w:rsidRDefault="000C68B1" w:rsidP="00C83351">
            <w:pPr>
              <w:ind w:leftChars="400" w:left="840"/>
              <w:rPr>
                <w:rFonts w:ascii="仿宋" w:eastAsia="仿宋" w:hAnsi="仿宋"/>
                <w:sz w:val="24"/>
                <w:szCs w:val="24"/>
              </w:rPr>
            </w:pP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54" w:type="dxa"/>
          </w:tcPr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学习成绩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与绩点</w:t>
            </w:r>
            <w:proofErr w:type="gramEnd"/>
            <w:r w:rsidRPr="005E3100">
              <w:rPr>
                <w:rFonts w:ascii="仿宋" w:eastAsia="仿宋" w:hAnsi="仿宋" w:hint="eastAsia"/>
                <w:sz w:val="24"/>
                <w:szCs w:val="24"/>
              </w:rPr>
              <w:t>的折算方法如下：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1.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成绩分数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60-69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对应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学分绩点</w:t>
            </w:r>
            <w:proofErr w:type="gramEnd"/>
            <w:r w:rsidRPr="005E3100">
              <w:rPr>
                <w:rFonts w:ascii="仿宋" w:eastAsia="仿宋" w:hAnsi="仿宋"/>
                <w:sz w:val="24"/>
                <w:szCs w:val="24"/>
              </w:rPr>
              <w:t>1.0-1.9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70-79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对应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学分绩点</w:t>
            </w:r>
            <w:proofErr w:type="gramEnd"/>
            <w:r w:rsidRPr="005E3100">
              <w:rPr>
                <w:rFonts w:ascii="仿宋" w:eastAsia="仿宋" w:hAnsi="仿宋"/>
                <w:sz w:val="24"/>
                <w:szCs w:val="24"/>
              </w:rPr>
              <w:t>2.0-2.9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80-89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对应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学分绩点</w:t>
            </w:r>
            <w:proofErr w:type="gramEnd"/>
            <w:r w:rsidRPr="005E3100">
              <w:rPr>
                <w:rFonts w:ascii="仿宋" w:eastAsia="仿宋" w:hAnsi="仿宋"/>
                <w:sz w:val="24"/>
                <w:szCs w:val="24"/>
              </w:rPr>
              <w:t>3.0-3.9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90-100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对应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学分绩点</w:t>
            </w:r>
            <w:proofErr w:type="gramEnd"/>
            <w:r w:rsidRPr="005E3100">
              <w:rPr>
                <w:rFonts w:ascii="仿宋" w:eastAsia="仿宋" w:hAnsi="仿宋"/>
                <w:sz w:val="24"/>
                <w:szCs w:val="24"/>
              </w:rPr>
              <w:t>4.0-5.0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；成绩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60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分以下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对应绩点为</w:t>
            </w:r>
            <w:proofErr w:type="gramEnd"/>
            <w:r w:rsidRPr="005E3100">
              <w:rPr>
                <w:rFonts w:ascii="仿宋" w:eastAsia="仿宋" w:hAnsi="仿宋"/>
                <w:sz w:val="24"/>
                <w:szCs w:val="24"/>
              </w:rPr>
              <w:t>0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2.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学分绩点</w:t>
            </w:r>
            <w:proofErr w:type="gramEnd"/>
            <w:r w:rsidRPr="005E3100">
              <w:rPr>
                <w:rFonts w:ascii="仿宋" w:eastAsia="仿宋" w:hAnsi="仿宋"/>
                <w:sz w:val="24"/>
                <w:szCs w:val="24"/>
              </w:rPr>
              <w:t>=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课程学分</w:t>
            </w:r>
            <w:r w:rsidRPr="005E3100">
              <w:rPr>
                <w:rFonts w:ascii="仿宋" w:eastAsia="仿宋" w:hAnsi="仿宋"/>
                <w:sz w:val="24"/>
                <w:szCs w:val="24"/>
              </w:rPr>
              <w:t>x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学分绩点；</w:t>
            </w:r>
          </w:p>
          <w:p w:rsidR="000C68B1" w:rsidRPr="005E3100" w:rsidRDefault="000C68B1" w:rsidP="00C83351">
            <w:pPr>
              <w:rPr>
                <w:rFonts w:ascii="仿宋" w:eastAsia="仿宋" w:hAnsi="仿宋"/>
                <w:sz w:val="24"/>
                <w:szCs w:val="24"/>
              </w:rPr>
            </w:pPr>
            <w:r w:rsidRPr="005E3100">
              <w:rPr>
                <w:rFonts w:ascii="仿宋" w:eastAsia="仿宋" w:hAnsi="仿宋"/>
                <w:sz w:val="24"/>
                <w:szCs w:val="24"/>
              </w:rPr>
              <w:t>3.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累计平均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学分绩点</w:t>
            </w:r>
            <w:proofErr w:type="gramEnd"/>
            <w:r w:rsidRPr="005E3100">
              <w:rPr>
                <w:rFonts w:ascii="仿宋" w:eastAsia="仿宋" w:hAnsi="仿宋"/>
                <w:sz w:val="24"/>
                <w:szCs w:val="24"/>
              </w:rPr>
              <w:t>=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∑</w:t>
            </w:r>
            <w:proofErr w:type="gramStart"/>
            <w:r w:rsidRPr="005E3100">
              <w:rPr>
                <w:rFonts w:ascii="仿宋" w:eastAsia="仿宋" w:hAnsi="仿宋" w:hint="eastAsia"/>
                <w:sz w:val="24"/>
                <w:szCs w:val="24"/>
              </w:rPr>
              <w:t>学分绩点</w:t>
            </w:r>
            <w:proofErr w:type="gramEnd"/>
            <w:r w:rsidRPr="005E3100">
              <w:rPr>
                <w:rFonts w:ascii="仿宋" w:eastAsia="仿宋" w:hAnsi="仿宋"/>
                <w:sz w:val="24"/>
                <w:szCs w:val="24"/>
              </w:rPr>
              <w:t>/</w:t>
            </w:r>
            <w:r w:rsidRPr="005E3100">
              <w:rPr>
                <w:rFonts w:ascii="仿宋" w:eastAsia="仿宋" w:hAnsi="仿宋" w:hint="eastAsia"/>
                <w:sz w:val="24"/>
                <w:szCs w:val="24"/>
              </w:rPr>
              <w:t>∑学分数。</w:t>
            </w:r>
          </w:p>
        </w:tc>
      </w:tr>
    </w:tbl>
    <w:p w:rsidR="00AE62D2" w:rsidRPr="000C68B1" w:rsidRDefault="00AE62D2"/>
    <w:sectPr w:rsidR="00AE62D2" w:rsidRPr="000C68B1" w:rsidSect="000C68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CE" w:rsidRDefault="00F555CE" w:rsidP="000C68B1">
      <w:r>
        <w:separator/>
      </w:r>
    </w:p>
  </w:endnote>
  <w:endnote w:type="continuationSeparator" w:id="0">
    <w:p w:rsidR="00F555CE" w:rsidRDefault="00F555CE" w:rsidP="000C6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CE" w:rsidRDefault="00F555CE" w:rsidP="000C68B1">
      <w:r>
        <w:separator/>
      </w:r>
    </w:p>
  </w:footnote>
  <w:footnote w:type="continuationSeparator" w:id="0">
    <w:p w:rsidR="00F555CE" w:rsidRDefault="00F555CE" w:rsidP="000C6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8B1"/>
    <w:rsid w:val="000C68B1"/>
    <w:rsid w:val="00112786"/>
    <w:rsid w:val="00297029"/>
    <w:rsid w:val="004306AD"/>
    <w:rsid w:val="00547063"/>
    <w:rsid w:val="00562249"/>
    <w:rsid w:val="005E20BD"/>
    <w:rsid w:val="005E3100"/>
    <w:rsid w:val="00752C55"/>
    <w:rsid w:val="008C76C3"/>
    <w:rsid w:val="00A36515"/>
    <w:rsid w:val="00A4317B"/>
    <w:rsid w:val="00A84177"/>
    <w:rsid w:val="00A913C6"/>
    <w:rsid w:val="00AE62D2"/>
    <w:rsid w:val="00D047F2"/>
    <w:rsid w:val="00D67263"/>
    <w:rsid w:val="00E37028"/>
    <w:rsid w:val="00E864F9"/>
    <w:rsid w:val="00EF4FAD"/>
    <w:rsid w:val="00F555CE"/>
    <w:rsid w:val="00FC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8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8B1"/>
    <w:rPr>
      <w:sz w:val="18"/>
      <w:szCs w:val="18"/>
    </w:rPr>
  </w:style>
  <w:style w:type="table" w:styleId="a5">
    <w:name w:val="Table Grid"/>
    <w:basedOn w:val="a1"/>
    <w:uiPriority w:val="59"/>
    <w:qFormat/>
    <w:rsid w:val="000C68B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gdufe.edu.cn/attach/download/2016/09/09/768588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646</Words>
  <Characters>3685</Characters>
  <Application>Microsoft Office Word</Application>
  <DocSecurity>0</DocSecurity>
  <Lines>30</Lines>
  <Paragraphs>8</Paragraphs>
  <ScaleCrop>false</ScaleCrop>
  <Company>Sky123.Org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梁宏中</cp:lastModifiedBy>
  <cp:revision>11</cp:revision>
  <dcterms:created xsi:type="dcterms:W3CDTF">2020-08-28T01:45:00Z</dcterms:created>
  <dcterms:modified xsi:type="dcterms:W3CDTF">2020-09-08T02:04:00Z</dcterms:modified>
</cp:coreProperties>
</file>